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FE812" w14:textId="39DF1B70" w:rsidR="003B099F" w:rsidRDefault="003B099F" w:rsidP="000643E3">
      <w:pPr>
        <w:rPr>
          <w:rFonts w:cstheme="minorHAnsi"/>
          <w:b/>
          <w:bCs/>
          <w:color w:val="0070C0"/>
          <w:sz w:val="32"/>
          <w:szCs w:val="32"/>
        </w:rPr>
      </w:pPr>
      <w:bookmarkStart w:id="0" w:name="_TOC_250000"/>
      <w:r w:rsidRPr="00E76C55">
        <w:rPr>
          <w:rFonts w:cstheme="minorHAnsi"/>
          <w:b/>
          <w:bCs/>
          <w:color w:val="0070C0"/>
          <w:sz w:val="32"/>
          <w:szCs w:val="32"/>
        </w:rPr>
        <w:t>SAMPLE Market Conduct Code Policy</w:t>
      </w:r>
      <w:r w:rsidR="00132AC4">
        <w:rPr>
          <w:rFonts w:cstheme="minorHAnsi"/>
          <w:b/>
          <w:bCs/>
          <w:color w:val="0070C0"/>
          <w:sz w:val="32"/>
          <w:szCs w:val="32"/>
        </w:rPr>
        <w:t xml:space="preserve"> (BC)</w:t>
      </w:r>
    </w:p>
    <w:p w14:paraId="56F224ED" w14:textId="0D9E444C" w:rsidR="003B099F" w:rsidRPr="003B099F" w:rsidRDefault="003B099F" w:rsidP="000643E3">
      <w:pPr>
        <w:pStyle w:val="ListParagraph"/>
        <w:widowControl/>
        <w:autoSpaceDE/>
        <w:autoSpaceDN/>
        <w:ind w:right="-51"/>
        <w:contextualSpacing/>
        <w:rPr>
          <w:rFonts w:asciiTheme="minorHAnsi" w:hAnsiTheme="minorHAnsi" w:cstheme="minorHAnsi"/>
          <w:i/>
          <w:iCs/>
          <w:color w:val="0070C0"/>
        </w:rPr>
      </w:pPr>
      <w:bookmarkStart w:id="1" w:name="_Hlk74576884"/>
      <w:r>
        <w:rPr>
          <w:rFonts w:asciiTheme="minorHAnsi" w:hAnsiTheme="minorHAnsi" w:cstheme="minorHAnsi"/>
          <w:i/>
          <w:iCs/>
          <w:color w:val="0070C0"/>
        </w:rPr>
        <w:t>_________________________________________________________________________________</w:t>
      </w:r>
    </w:p>
    <w:bookmarkEnd w:id="1"/>
    <w:p w14:paraId="39EFCDD4" w14:textId="77777777" w:rsidR="0080597F" w:rsidRDefault="00712BA2" w:rsidP="000643E3">
      <w:pPr>
        <w:pStyle w:val="Heading1"/>
        <w:spacing w:before="120"/>
        <w:ind w:left="119"/>
        <w:jc w:val="center"/>
        <w:rPr>
          <w:rFonts w:asciiTheme="minorHAnsi" w:hAnsiTheme="minorHAnsi" w:cstheme="minorHAnsi"/>
          <w:spacing w:val="-2"/>
        </w:rPr>
      </w:pPr>
      <w:r w:rsidRPr="008553CC">
        <w:rPr>
          <w:rFonts w:asciiTheme="minorHAnsi" w:hAnsiTheme="minorHAnsi" w:cstheme="minorHAnsi"/>
        </w:rPr>
        <w:t>Market</w:t>
      </w:r>
      <w:r w:rsidRPr="008553CC">
        <w:rPr>
          <w:rFonts w:asciiTheme="minorHAnsi" w:hAnsiTheme="minorHAnsi" w:cstheme="minorHAnsi"/>
          <w:spacing w:val="-2"/>
        </w:rPr>
        <w:t xml:space="preserve"> </w:t>
      </w:r>
      <w:r w:rsidRPr="008553CC">
        <w:rPr>
          <w:rFonts w:asciiTheme="minorHAnsi" w:hAnsiTheme="minorHAnsi" w:cstheme="minorHAnsi"/>
        </w:rPr>
        <w:t>Code</w:t>
      </w:r>
      <w:r w:rsidR="008553CC">
        <w:rPr>
          <w:rFonts w:asciiTheme="minorHAnsi" w:hAnsiTheme="minorHAnsi" w:cstheme="minorHAnsi"/>
        </w:rPr>
        <w:t xml:space="preserve"> Policy</w:t>
      </w:r>
      <w:r w:rsidR="00A45B9A">
        <w:rPr>
          <w:rFonts w:asciiTheme="minorHAnsi" w:hAnsiTheme="minorHAnsi" w:cstheme="minorHAnsi"/>
          <w:spacing w:val="-2"/>
        </w:rPr>
        <w:t xml:space="preserve"> </w:t>
      </w:r>
    </w:p>
    <w:bookmarkEnd w:id="0"/>
    <w:p w14:paraId="403B5090" w14:textId="3C9CB84E" w:rsidR="00BB3B5D" w:rsidRDefault="00AF4332" w:rsidP="000643E3">
      <w:pPr>
        <w:pStyle w:val="Heading1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Transparency and Disclosure</w:t>
      </w:r>
    </w:p>
    <w:p w14:paraId="63575E47" w14:textId="77777777" w:rsidR="000643E3" w:rsidRPr="008553CC" w:rsidRDefault="000643E3" w:rsidP="000643E3">
      <w:pPr>
        <w:pStyle w:val="Heading1"/>
        <w:spacing w:before="0"/>
        <w:jc w:val="center"/>
        <w:rPr>
          <w:rFonts w:asciiTheme="minorHAnsi" w:hAnsiTheme="minorHAnsi" w:cstheme="minorHAnsi"/>
        </w:rPr>
      </w:pPr>
    </w:p>
    <w:p w14:paraId="3E8E8173" w14:textId="30D99AF1" w:rsidR="00BB3B5D" w:rsidRDefault="00712BA2" w:rsidP="000643E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553CC">
        <w:rPr>
          <w:rFonts w:asciiTheme="minorHAnsi" w:hAnsiTheme="minorHAnsi" w:cstheme="minorHAnsi"/>
          <w:sz w:val="22"/>
          <w:szCs w:val="22"/>
        </w:rPr>
        <w:t>Purpose:</w:t>
      </w:r>
    </w:p>
    <w:p w14:paraId="2719E2A6" w14:textId="77777777" w:rsidR="000643E3" w:rsidRPr="00132AC4" w:rsidRDefault="000643E3" w:rsidP="000643E3">
      <w:pPr>
        <w:pStyle w:val="Heading2"/>
        <w:rPr>
          <w:rFonts w:ascii="Calibri" w:hAnsi="Calibri" w:cs="Calibri"/>
          <w:sz w:val="22"/>
          <w:szCs w:val="22"/>
        </w:rPr>
      </w:pPr>
    </w:p>
    <w:p w14:paraId="7D0B97AE" w14:textId="4EFFE9C1" w:rsidR="00BB3B5D" w:rsidRPr="00132AC4" w:rsidRDefault="00712BA2" w:rsidP="000643E3">
      <w:pPr>
        <w:pStyle w:val="BodyText"/>
        <w:ind w:left="120" w:right="158"/>
        <w:rPr>
          <w:rFonts w:ascii="Calibri" w:hAnsi="Calibri" w:cs="Calibri"/>
          <w:sz w:val="22"/>
          <w:szCs w:val="22"/>
        </w:rPr>
      </w:pPr>
      <w:r w:rsidRPr="00132AC4">
        <w:rPr>
          <w:rFonts w:ascii="Calibri" w:hAnsi="Calibri" w:cs="Calibri"/>
          <w:sz w:val="22"/>
          <w:szCs w:val="22"/>
        </w:rPr>
        <w:t xml:space="preserve">To ensure </w:t>
      </w:r>
      <w:r w:rsidR="00FD35A5" w:rsidRPr="00132AC4">
        <w:rPr>
          <w:rFonts w:ascii="Calibri" w:hAnsi="Calibri" w:cs="Calibri"/>
          <w:sz w:val="22"/>
          <w:szCs w:val="22"/>
        </w:rPr>
        <w:t xml:space="preserve">that the </w:t>
      </w:r>
      <w:r w:rsidR="00AF4332" w:rsidRPr="00132AC4">
        <w:rPr>
          <w:rFonts w:ascii="Calibri" w:hAnsi="Calibri" w:cs="Calibri"/>
          <w:sz w:val="22"/>
          <w:szCs w:val="22"/>
        </w:rPr>
        <w:t xml:space="preserve">credit union </w:t>
      </w:r>
      <w:r w:rsidR="00303EE6" w:rsidRPr="00132AC4">
        <w:rPr>
          <w:rFonts w:ascii="Calibri" w:hAnsi="Calibri" w:cs="Calibri"/>
          <w:sz w:val="22"/>
          <w:szCs w:val="22"/>
        </w:rPr>
        <w:t xml:space="preserve">considers the financial needs of its members, provides clear and transparent disclosure and </w:t>
      </w:r>
      <w:r w:rsidR="00AF4332" w:rsidRPr="00132AC4">
        <w:rPr>
          <w:rFonts w:ascii="Calibri" w:hAnsi="Calibri" w:cs="Calibri"/>
          <w:bCs/>
          <w:sz w:val="22"/>
          <w:szCs w:val="22"/>
        </w:rPr>
        <w:t>uses plain-language descriptions of products and services in its communications to ensure people make informed decisions</w:t>
      </w:r>
      <w:r w:rsidR="00CC06C1" w:rsidRPr="00132AC4">
        <w:rPr>
          <w:rFonts w:ascii="Calibri" w:hAnsi="Calibri" w:cs="Calibri"/>
          <w:bCs/>
          <w:sz w:val="22"/>
          <w:szCs w:val="22"/>
        </w:rPr>
        <w:t xml:space="preserve">, </w:t>
      </w:r>
      <w:r w:rsidR="00CC06C1" w:rsidRPr="00132AC4">
        <w:rPr>
          <w:rFonts w:ascii="Calibri" w:hAnsi="Calibri" w:cs="Calibri"/>
          <w:sz w:val="22"/>
          <w:szCs w:val="22"/>
        </w:rPr>
        <w:t>as set out in the ‘</w:t>
      </w:r>
      <w:r w:rsidR="00AF4332" w:rsidRPr="00132AC4">
        <w:rPr>
          <w:rFonts w:ascii="Calibri" w:hAnsi="Calibri" w:cs="Calibri"/>
          <w:sz w:val="22"/>
          <w:szCs w:val="22"/>
        </w:rPr>
        <w:t>Transparency and Disclosure</w:t>
      </w:r>
      <w:r w:rsidR="00FD35A5" w:rsidRPr="00132AC4">
        <w:rPr>
          <w:rFonts w:ascii="Calibri" w:hAnsi="Calibri" w:cs="Calibri"/>
          <w:sz w:val="22"/>
          <w:szCs w:val="22"/>
        </w:rPr>
        <w:t>’</w:t>
      </w:r>
      <w:r w:rsidR="00CC06C1" w:rsidRPr="00132AC4">
        <w:rPr>
          <w:rFonts w:ascii="Calibri" w:hAnsi="Calibri" w:cs="Calibri"/>
          <w:sz w:val="22"/>
          <w:szCs w:val="22"/>
        </w:rPr>
        <w:t xml:space="preserve"> section of </w:t>
      </w:r>
      <w:r w:rsidR="00E17C5E" w:rsidRPr="00132AC4">
        <w:rPr>
          <w:rFonts w:ascii="Calibri" w:hAnsi="Calibri" w:cs="Calibri"/>
          <w:sz w:val="22"/>
          <w:szCs w:val="22"/>
        </w:rPr>
        <w:t xml:space="preserve">the </w:t>
      </w:r>
      <w:bookmarkStart w:id="2" w:name="_Hlk75251079"/>
      <w:r w:rsidR="00E17C5E" w:rsidRPr="00132AC4">
        <w:rPr>
          <w:rFonts w:ascii="Calibri" w:hAnsi="Calibri" w:cs="Calibri"/>
          <w:sz w:val="22"/>
          <w:szCs w:val="22"/>
        </w:rPr>
        <w:t xml:space="preserve">Market Conduct Code for </w:t>
      </w:r>
      <w:r w:rsidR="0008140C" w:rsidRPr="00132AC4">
        <w:rPr>
          <w:rFonts w:ascii="Calibri" w:hAnsi="Calibri" w:cs="Calibri"/>
          <w:sz w:val="22"/>
          <w:szCs w:val="22"/>
        </w:rPr>
        <w:t>British Columbia</w:t>
      </w:r>
      <w:r w:rsidR="00E17C5E" w:rsidRPr="00132AC4">
        <w:rPr>
          <w:rFonts w:ascii="Calibri" w:hAnsi="Calibri" w:cs="Calibri"/>
          <w:sz w:val="22"/>
          <w:szCs w:val="22"/>
        </w:rPr>
        <w:t xml:space="preserve"> Credit Unions</w:t>
      </w:r>
      <w:bookmarkEnd w:id="2"/>
      <w:r w:rsidR="00E17C5E" w:rsidRPr="00132AC4">
        <w:rPr>
          <w:rFonts w:ascii="Calibri" w:hAnsi="Calibri" w:cs="Calibri"/>
          <w:sz w:val="22"/>
          <w:szCs w:val="22"/>
        </w:rPr>
        <w:t xml:space="preserve"> adopted</w:t>
      </w:r>
      <w:r w:rsidR="00CC06C1" w:rsidRPr="00132AC4">
        <w:rPr>
          <w:rFonts w:ascii="Calibri" w:hAnsi="Calibri" w:cs="Calibri"/>
          <w:sz w:val="22"/>
          <w:szCs w:val="22"/>
        </w:rPr>
        <w:t xml:space="preserve"> by the Credit Union on </w:t>
      </w:r>
      <w:r w:rsidR="00CC06C1" w:rsidRPr="00132AC4">
        <w:rPr>
          <w:rFonts w:ascii="Calibri" w:hAnsi="Calibri" w:cs="Calibri"/>
          <w:sz w:val="22"/>
          <w:szCs w:val="22"/>
          <w:highlight w:val="cyan"/>
        </w:rPr>
        <w:t>_____________________</w:t>
      </w:r>
      <w:r w:rsidR="00CC06C1" w:rsidRPr="00132AC4">
        <w:rPr>
          <w:rFonts w:ascii="Calibri" w:hAnsi="Calibri" w:cs="Calibri"/>
          <w:sz w:val="22"/>
          <w:szCs w:val="22"/>
        </w:rPr>
        <w:t xml:space="preserve"> (the “Code”). </w:t>
      </w:r>
    </w:p>
    <w:p w14:paraId="4B60E19C" w14:textId="77777777" w:rsidR="00CC06C1" w:rsidRPr="00C21E92" w:rsidRDefault="00CC06C1" w:rsidP="000643E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AE9B03E" w14:textId="77777777" w:rsidR="005F13D8" w:rsidRPr="00C21E92" w:rsidRDefault="005F13D8" w:rsidP="000643E3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3" w:name="Policy_Statements:"/>
      <w:bookmarkStart w:id="4" w:name="_Hlk74667304"/>
      <w:bookmarkEnd w:id="3"/>
      <w:r w:rsidRPr="00C21E92">
        <w:rPr>
          <w:rFonts w:asciiTheme="minorHAnsi" w:hAnsiTheme="minorHAnsi" w:cstheme="minorHAnsi"/>
          <w:sz w:val="22"/>
          <w:szCs w:val="22"/>
        </w:rPr>
        <w:t>Policy</w:t>
      </w:r>
      <w:r w:rsidRPr="00C21E9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21E92">
        <w:rPr>
          <w:rFonts w:asciiTheme="minorHAnsi" w:hAnsiTheme="minorHAnsi" w:cstheme="minorHAnsi"/>
          <w:sz w:val="22"/>
          <w:szCs w:val="22"/>
        </w:rPr>
        <w:t>Statements:</w:t>
      </w:r>
    </w:p>
    <w:p w14:paraId="521B224C" w14:textId="77777777" w:rsidR="005F13D8" w:rsidRPr="00BA43E4" w:rsidRDefault="005F13D8" w:rsidP="000643E3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75FFAD66" w14:textId="4E4150A2" w:rsidR="005F13D8" w:rsidRPr="000643E3" w:rsidRDefault="005F13D8" w:rsidP="000643E3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BA43E4">
        <w:rPr>
          <w:rFonts w:asciiTheme="minorHAnsi" w:hAnsiTheme="minorHAnsi" w:cstheme="minorHAnsi"/>
          <w:sz w:val="22"/>
          <w:szCs w:val="22"/>
        </w:rPr>
        <w:t xml:space="preserve">The </w:t>
      </w:r>
      <w:r w:rsidRPr="000643E3">
        <w:rPr>
          <w:rFonts w:asciiTheme="minorHAnsi" w:hAnsiTheme="minorHAnsi" w:cstheme="minorHAnsi"/>
          <w:sz w:val="22"/>
          <w:szCs w:val="22"/>
        </w:rPr>
        <w:t xml:space="preserve">credit union will adhere to the principles regarding </w:t>
      </w:r>
      <w:r w:rsidR="009E261A">
        <w:rPr>
          <w:rFonts w:asciiTheme="minorHAnsi" w:hAnsiTheme="minorHAnsi" w:cstheme="minorHAnsi"/>
          <w:sz w:val="22"/>
          <w:szCs w:val="22"/>
        </w:rPr>
        <w:t>transparency and disclosure</w:t>
      </w:r>
      <w:r w:rsidRPr="000643E3">
        <w:rPr>
          <w:rFonts w:asciiTheme="minorHAnsi" w:hAnsiTheme="minorHAnsi" w:cstheme="minorHAnsi"/>
          <w:sz w:val="22"/>
          <w:szCs w:val="22"/>
        </w:rPr>
        <w:t xml:space="preserve"> reflected in the</w:t>
      </w:r>
      <w:r w:rsidR="00CF53EC" w:rsidRPr="000643E3">
        <w:rPr>
          <w:rFonts w:asciiTheme="minorHAnsi" w:hAnsiTheme="minorHAnsi" w:cstheme="minorHAnsi"/>
          <w:sz w:val="22"/>
          <w:szCs w:val="22"/>
        </w:rPr>
        <w:t xml:space="preserve"> </w:t>
      </w:r>
      <w:r w:rsidRPr="000643E3">
        <w:rPr>
          <w:rFonts w:asciiTheme="minorHAnsi" w:hAnsiTheme="minorHAnsi" w:cstheme="minorHAnsi"/>
          <w:sz w:val="22"/>
          <w:szCs w:val="22"/>
        </w:rPr>
        <w:t>Code.</w:t>
      </w:r>
    </w:p>
    <w:bookmarkEnd w:id="4"/>
    <w:p w14:paraId="1842574E" w14:textId="77777777" w:rsidR="005F13D8" w:rsidRPr="000643E3" w:rsidRDefault="005F13D8" w:rsidP="000643E3">
      <w:pPr>
        <w:pStyle w:val="BodyText"/>
        <w:ind w:left="567"/>
        <w:rPr>
          <w:rFonts w:asciiTheme="minorHAnsi" w:hAnsiTheme="minorHAnsi" w:cstheme="minorHAnsi"/>
          <w:sz w:val="22"/>
          <w:szCs w:val="22"/>
        </w:rPr>
      </w:pPr>
    </w:p>
    <w:p w14:paraId="1511EF6E" w14:textId="74103444" w:rsidR="00A84C55" w:rsidRPr="00132AC4" w:rsidRDefault="00132AC4" w:rsidP="00132AC4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643E3">
        <w:rPr>
          <w:rFonts w:asciiTheme="minorHAnsi" w:hAnsiTheme="minorHAnsi" w:cstheme="minorHAnsi"/>
          <w:sz w:val="22"/>
          <w:szCs w:val="22"/>
        </w:rPr>
        <w:t xml:space="preserve">The credit union will facilitate members’, account holders’ and consumers’ ability to make properly informed decisions about products and services, by (i) providing information that is: </w:t>
      </w:r>
      <w:r>
        <w:rPr>
          <w:rFonts w:asciiTheme="minorHAnsi" w:hAnsiTheme="minorHAnsi" w:cstheme="minorHAnsi"/>
          <w:sz w:val="22"/>
          <w:szCs w:val="22"/>
        </w:rPr>
        <w:t xml:space="preserve">in user-friendly </w:t>
      </w:r>
      <w:r w:rsidRPr="000643E3">
        <w:rPr>
          <w:rFonts w:asciiTheme="minorHAnsi" w:hAnsiTheme="minorHAnsi" w:cstheme="minorHAnsi"/>
          <w:sz w:val="22"/>
          <w:szCs w:val="22"/>
        </w:rPr>
        <w:t>language (wherever possible); clear about any risks, exclusions or limitations; up-to-date; does not hide, diminish, or obscure important statements or warnings; makes sure important information is prominently displayed; is based on disclosed personal circumstances and financial needs of the member, account holder, or consumer; (ii) answering any questions asked about a product or service; (iii) having employees identify the types of products or services they are licensed or registered to sell or offer (if applicable); and (iv) disclosing any conflicts of interest</w:t>
      </w:r>
      <w:r w:rsidR="00AF4332" w:rsidRPr="00132AC4">
        <w:rPr>
          <w:rFonts w:asciiTheme="minorHAnsi" w:hAnsiTheme="minorHAnsi" w:cstheme="minorHAnsi"/>
          <w:sz w:val="22"/>
          <w:szCs w:val="22"/>
        </w:rPr>
        <w:t>,</w:t>
      </w:r>
      <w:r w:rsidR="00DA3819" w:rsidRPr="00132AC4">
        <w:rPr>
          <w:rFonts w:asciiTheme="minorHAnsi" w:hAnsiTheme="minorHAnsi" w:cstheme="minorHAnsi"/>
          <w:sz w:val="22"/>
          <w:szCs w:val="22"/>
        </w:rPr>
        <w:t xml:space="preserve"> per section </w:t>
      </w:r>
      <w:r w:rsidR="00AF4332" w:rsidRPr="00132AC4">
        <w:rPr>
          <w:rFonts w:asciiTheme="minorHAnsi" w:hAnsiTheme="minorHAnsi" w:cstheme="minorHAnsi"/>
          <w:sz w:val="22"/>
          <w:szCs w:val="22"/>
        </w:rPr>
        <w:t>4</w:t>
      </w:r>
      <w:r w:rsidR="00DA3819" w:rsidRPr="00132AC4">
        <w:rPr>
          <w:rFonts w:asciiTheme="minorHAnsi" w:hAnsiTheme="minorHAnsi" w:cstheme="minorHAnsi"/>
          <w:sz w:val="22"/>
          <w:szCs w:val="22"/>
        </w:rPr>
        <w:t>.1 of the Code</w:t>
      </w:r>
      <w:r w:rsidR="00FD35A5" w:rsidRPr="00132AC4">
        <w:rPr>
          <w:rFonts w:asciiTheme="minorHAnsi" w:eastAsiaTheme="minorHAnsi" w:hAnsiTheme="minorHAnsi" w:cstheme="minorHAnsi"/>
          <w:sz w:val="22"/>
          <w:szCs w:val="22"/>
          <w:lang w:val="en-CA"/>
        </w:rPr>
        <w:t>.</w:t>
      </w:r>
    </w:p>
    <w:p w14:paraId="6C1B0009" w14:textId="77777777" w:rsidR="00A84C55" w:rsidRPr="000643E3" w:rsidRDefault="00A84C55" w:rsidP="000643E3">
      <w:pPr>
        <w:pStyle w:val="ListParagraph"/>
        <w:rPr>
          <w:rFonts w:asciiTheme="minorHAnsi" w:hAnsiTheme="minorHAnsi" w:cstheme="minorHAnsi"/>
        </w:rPr>
      </w:pPr>
    </w:p>
    <w:p w14:paraId="568A1DE0" w14:textId="77777777" w:rsidR="00B64F0A" w:rsidRPr="000643E3" w:rsidRDefault="00AF4332" w:rsidP="000643E3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643E3">
        <w:rPr>
          <w:rFonts w:asciiTheme="minorHAnsi" w:hAnsiTheme="minorHAnsi" w:cstheme="minorHAnsi"/>
          <w:sz w:val="22"/>
          <w:szCs w:val="22"/>
        </w:rPr>
        <w:t xml:space="preserve">The credit union will review product and service information every </w:t>
      </w:r>
      <w:r w:rsidRPr="000643E3">
        <w:rPr>
          <w:rFonts w:asciiTheme="minorHAnsi" w:hAnsiTheme="minorHAnsi" w:cstheme="minorHAnsi"/>
          <w:sz w:val="22"/>
          <w:szCs w:val="22"/>
          <w:highlight w:val="cyan"/>
        </w:rPr>
        <w:t>______</w:t>
      </w:r>
      <w:r w:rsidRPr="000643E3">
        <w:rPr>
          <w:rFonts w:asciiTheme="minorHAnsi" w:hAnsiTheme="minorHAnsi" w:cstheme="minorHAnsi"/>
          <w:sz w:val="22"/>
          <w:szCs w:val="22"/>
        </w:rPr>
        <w:t xml:space="preserve"> </w:t>
      </w:r>
      <w:r w:rsidR="00CF53EC" w:rsidRPr="000643E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[Note: the wording in the Code is “periodically, and as needed”] </w:t>
      </w:r>
      <w:r w:rsidRPr="000643E3">
        <w:rPr>
          <w:rFonts w:asciiTheme="minorHAnsi" w:hAnsiTheme="minorHAnsi" w:cstheme="minorHAnsi"/>
          <w:sz w:val="22"/>
          <w:szCs w:val="22"/>
        </w:rPr>
        <w:t xml:space="preserve">to ensure it is written in user-friendly language and easily accessible to the relevant member, account holder, or consumer, per section 4.2 of the Code. </w:t>
      </w:r>
      <w:r w:rsidR="00A84C55" w:rsidRPr="000643E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[Note: this is optional –section </w:t>
      </w:r>
      <w:r w:rsidRPr="000643E3">
        <w:rPr>
          <w:rFonts w:asciiTheme="minorHAnsi" w:hAnsiTheme="minorHAnsi" w:cstheme="minorHAnsi"/>
          <w:i/>
          <w:iCs/>
          <w:color w:val="0070C0"/>
          <w:sz w:val="22"/>
          <w:szCs w:val="22"/>
        </w:rPr>
        <w:t>4.2</w:t>
      </w:r>
      <w:r w:rsidR="00A84C55" w:rsidRPr="000643E3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is a Code ‘recommendation’, not ‘requirement’]</w:t>
      </w:r>
      <w:r w:rsidR="00A34CC7" w:rsidRPr="000643E3">
        <w:rPr>
          <w:rFonts w:asciiTheme="minorHAnsi" w:eastAsiaTheme="minorHAnsi" w:hAnsiTheme="minorHAnsi" w:cstheme="minorHAnsi"/>
          <w:sz w:val="22"/>
          <w:szCs w:val="22"/>
          <w:lang w:val="en-CA"/>
        </w:rPr>
        <w:t>.</w:t>
      </w:r>
      <w:r w:rsidR="00A34CC7" w:rsidRPr="000643E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BA90347" w14:textId="77777777" w:rsidR="00B64F0A" w:rsidRPr="000643E3" w:rsidRDefault="00B64F0A" w:rsidP="000643E3">
      <w:pPr>
        <w:pStyle w:val="ListParagraph"/>
        <w:rPr>
          <w:rFonts w:asciiTheme="minorHAnsi" w:hAnsiTheme="minorHAnsi" w:cstheme="minorHAnsi"/>
        </w:rPr>
      </w:pPr>
    </w:p>
    <w:p w14:paraId="4E526F28" w14:textId="011AD296" w:rsidR="00B64F0A" w:rsidRPr="000643E3" w:rsidRDefault="00B64F0A" w:rsidP="000643E3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643E3">
        <w:rPr>
          <w:rFonts w:asciiTheme="minorHAnsi" w:hAnsiTheme="minorHAnsi" w:cstheme="minorHAnsi"/>
          <w:sz w:val="22"/>
          <w:szCs w:val="22"/>
        </w:rPr>
        <w:t>The credit union will disclose all legally required information</w:t>
      </w:r>
      <w:r w:rsidR="00132AC4">
        <w:rPr>
          <w:rFonts w:asciiTheme="minorHAnsi" w:hAnsiTheme="minorHAnsi" w:cstheme="minorHAnsi"/>
          <w:sz w:val="22"/>
          <w:szCs w:val="22"/>
        </w:rPr>
        <w:t>,</w:t>
      </w:r>
      <w:r w:rsidRPr="000643E3">
        <w:rPr>
          <w:rFonts w:asciiTheme="minorHAnsi" w:hAnsiTheme="minorHAnsi" w:cstheme="minorHAnsi"/>
          <w:sz w:val="22"/>
          <w:szCs w:val="22"/>
        </w:rPr>
        <w:t xml:space="preserve"> per section 4.3 of the Code.</w:t>
      </w:r>
    </w:p>
    <w:p w14:paraId="2C8C0C41" w14:textId="77777777" w:rsidR="00B64F0A" w:rsidRPr="000643E3" w:rsidRDefault="00B64F0A" w:rsidP="000643E3">
      <w:pPr>
        <w:pStyle w:val="ListParagraph"/>
        <w:rPr>
          <w:rFonts w:asciiTheme="minorHAnsi" w:hAnsiTheme="minorHAnsi" w:cstheme="minorHAnsi"/>
        </w:rPr>
      </w:pPr>
    </w:p>
    <w:p w14:paraId="7F419D9E" w14:textId="309E8C86" w:rsidR="00B64F0A" w:rsidRPr="00132AC4" w:rsidRDefault="00132AC4" w:rsidP="00132AC4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color w:val="221F1F"/>
        </w:rPr>
      </w:pPr>
      <w:r w:rsidRPr="000643E3">
        <w:rPr>
          <w:rFonts w:asciiTheme="minorHAnsi" w:hAnsiTheme="minorHAnsi" w:cstheme="minorHAnsi"/>
          <w:sz w:val="22"/>
          <w:szCs w:val="22"/>
        </w:rPr>
        <w:t>The credit union will facilitate members’, account holders’ and consumers’ ability to make informed decisions about a product or service</w:t>
      </w:r>
      <w:r w:rsidRPr="009E261A">
        <w:rPr>
          <w:rFonts w:asciiTheme="minorHAnsi" w:hAnsiTheme="minorHAnsi" w:cstheme="minorHAnsi"/>
          <w:color w:val="000000" w:themeColor="text1"/>
          <w:sz w:val="22"/>
          <w:szCs w:val="22"/>
        </w:rPr>
        <w:t>, by informing of the following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online and/or in person</w:t>
      </w:r>
      <w:r w:rsidRPr="009E26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key features; any associated risks, exclusions, or limitations; any financial implications of a transaction; all costs, including fees and charges; the key terms and conditions </w:t>
      </w:r>
      <w:r w:rsidRPr="000643E3">
        <w:rPr>
          <w:rFonts w:asciiTheme="minorHAnsi" w:hAnsiTheme="minorHAnsi" w:cstheme="minorHAnsi"/>
          <w:sz w:val="22"/>
          <w:szCs w:val="22"/>
        </w:rPr>
        <w:t>that apply</w:t>
      </w:r>
      <w:r>
        <w:rPr>
          <w:rFonts w:asciiTheme="minorHAnsi" w:hAnsiTheme="minorHAnsi" w:cstheme="minorHAnsi"/>
          <w:sz w:val="22"/>
          <w:szCs w:val="22"/>
        </w:rPr>
        <w:t>, including potential renewal requirements</w:t>
      </w:r>
      <w:r w:rsidRPr="000643E3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0643E3">
        <w:rPr>
          <w:rFonts w:asciiTheme="minorHAnsi" w:hAnsiTheme="minorHAnsi" w:cstheme="minorHAnsi"/>
          <w:sz w:val="22"/>
          <w:szCs w:val="22"/>
        </w:rPr>
        <w:t>the person’s rights and obligations,</w:t>
      </w:r>
      <w:r w:rsidR="00B64F0A" w:rsidRPr="000643E3">
        <w:rPr>
          <w:rFonts w:asciiTheme="minorHAnsi" w:hAnsiTheme="minorHAnsi" w:cstheme="minorHAnsi"/>
          <w:sz w:val="22"/>
          <w:szCs w:val="22"/>
        </w:rPr>
        <w:t xml:space="preserve"> per section 4.</w:t>
      </w:r>
      <w:r w:rsidR="002A2069" w:rsidRPr="000643E3">
        <w:rPr>
          <w:rFonts w:asciiTheme="minorHAnsi" w:hAnsiTheme="minorHAnsi" w:cstheme="minorHAnsi"/>
          <w:sz w:val="22"/>
          <w:szCs w:val="22"/>
        </w:rPr>
        <w:t>4</w:t>
      </w:r>
      <w:r w:rsidR="00B64F0A" w:rsidRPr="000643E3">
        <w:rPr>
          <w:rFonts w:asciiTheme="minorHAnsi" w:hAnsiTheme="minorHAnsi" w:cstheme="minorHAnsi"/>
          <w:sz w:val="22"/>
          <w:szCs w:val="22"/>
        </w:rPr>
        <w:t xml:space="preserve"> of the Code</w:t>
      </w:r>
      <w:r w:rsidRPr="004C3390">
        <w:rPr>
          <w:rFonts w:asciiTheme="minorHAnsi" w:hAnsiTheme="minorHAnsi" w:cstheme="minorHAnsi"/>
          <w:sz w:val="22"/>
          <w:szCs w:val="22"/>
        </w:rPr>
        <w:t xml:space="preserve">, including subsections </w:t>
      </w:r>
      <w:r>
        <w:rPr>
          <w:rFonts w:asciiTheme="minorHAnsi" w:hAnsiTheme="minorHAnsi" w:cstheme="minorHAnsi"/>
          <w:sz w:val="22"/>
          <w:szCs w:val="22"/>
        </w:rPr>
        <w:t>4.4.1</w:t>
      </w:r>
      <w:r w:rsidRPr="004C3390">
        <w:rPr>
          <w:rFonts w:asciiTheme="minorHAnsi" w:hAnsiTheme="minorHAnsi" w:cstheme="minorHAnsi"/>
          <w:sz w:val="22"/>
          <w:szCs w:val="22"/>
        </w:rPr>
        <w:t xml:space="preserve"> through </w:t>
      </w:r>
      <w:r>
        <w:rPr>
          <w:rFonts w:asciiTheme="minorHAnsi" w:hAnsiTheme="minorHAnsi" w:cstheme="minorHAnsi"/>
          <w:sz w:val="22"/>
          <w:szCs w:val="22"/>
        </w:rPr>
        <w:t>4.4.2</w:t>
      </w:r>
      <w:r w:rsidRPr="004C3390">
        <w:rPr>
          <w:rFonts w:asciiTheme="minorHAnsi" w:hAnsiTheme="minorHAnsi" w:cstheme="minorHAnsi"/>
          <w:sz w:val="22"/>
          <w:szCs w:val="22"/>
        </w:rPr>
        <w:t>.</w:t>
      </w:r>
      <w:r w:rsidRPr="004C3390">
        <w:rPr>
          <w:rFonts w:ascii="Calibri" w:hAnsi="Calibri" w:cs="Calibri"/>
          <w:color w:val="221F1F"/>
          <w:sz w:val="22"/>
          <w:szCs w:val="22"/>
        </w:rPr>
        <w:t xml:space="preserve"> </w:t>
      </w:r>
      <w:r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[Note: 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some of </w:t>
      </w:r>
      <w:r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this is optional – 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elements of </w:t>
      </w:r>
      <w:r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section 4.4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are</w:t>
      </w:r>
      <w:r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a Code ‘recommendation’, not ‘requirement’]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26E799" w14:textId="77777777" w:rsidR="005053C1" w:rsidRPr="000643E3" w:rsidRDefault="005053C1" w:rsidP="000643E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0468412" w14:textId="209086C7" w:rsidR="00BB5373" w:rsidRPr="0008140C" w:rsidRDefault="002A2069" w:rsidP="0008140C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643E3">
        <w:rPr>
          <w:rFonts w:asciiTheme="minorHAnsi" w:hAnsiTheme="minorHAnsi" w:cstheme="minorHAnsi"/>
          <w:sz w:val="22"/>
          <w:szCs w:val="22"/>
        </w:rPr>
        <w:t>The credit union will help members and account holders use their products and services</w:t>
      </w:r>
      <w:r w:rsidR="00BB5373" w:rsidRPr="000643E3">
        <w:rPr>
          <w:rFonts w:asciiTheme="minorHAnsi" w:hAnsiTheme="minorHAnsi" w:cstheme="minorHAnsi"/>
          <w:sz w:val="22"/>
          <w:szCs w:val="22"/>
        </w:rPr>
        <w:t xml:space="preserve">, </w:t>
      </w:r>
      <w:r w:rsidRPr="000643E3">
        <w:rPr>
          <w:rFonts w:asciiTheme="minorHAnsi" w:hAnsiTheme="minorHAnsi" w:cstheme="minorHAnsi"/>
          <w:sz w:val="22"/>
          <w:szCs w:val="22"/>
        </w:rPr>
        <w:t xml:space="preserve">keep them informed by providing regular statements (where required by law) and notice of changes to interest rate and service charges, and advise members when </w:t>
      </w:r>
      <w:r w:rsidR="00BB5373" w:rsidRPr="000643E3">
        <w:rPr>
          <w:rFonts w:asciiTheme="minorHAnsi" w:hAnsiTheme="minorHAnsi" w:cstheme="minorHAnsi"/>
          <w:sz w:val="22"/>
          <w:szCs w:val="22"/>
        </w:rPr>
        <w:t>t</w:t>
      </w:r>
      <w:r w:rsidRPr="000643E3">
        <w:rPr>
          <w:rFonts w:asciiTheme="minorHAnsi" w:hAnsiTheme="minorHAnsi" w:cstheme="minorHAnsi"/>
          <w:sz w:val="22"/>
          <w:szCs w:val="22"/>
        </w:rPr>
        <w:t xml:space="preserve">erms and </w:t>
      </w:r>
      <w:r w:rsidR="00BB5373" w:rsidRPr="000643E3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Pr="000643E3">
        <w:rPr>
          <w:rFonts w:asciiTheme="minorHAnsi" w:hAnsiTheme="minorHAnsi" w:cstheme="minorHAnsi"/>
          <w:sz w:val="22"/>
          <w:szCs w:val="22"/>
        </w:rPr>
        <w:t>onditions change</w:t>
      </w:r>
      <w:r w:rsidR="00BB5373" w:rsidRPr="000643E3">
        <w:rPr>
          <w:rFonts w:asciiTheme="minorHAnsi" w:hAnsiTheme="minorHAnsi" w:cstheme="minorHAnsi"/>
          <w:sz w:val="22"/>
          <w:szCs w:val="22"/>
        </w:rPr>
        <w:t>,</w:t>
      </w:r>
      <w:r w:rsidRPr="000643E3">
        <w:rPr>
          <w:rFonts w:asciiTheme="minorHAnsi" w:hAnsiTheme="minorHAnsi" w:cstheme="minorHAnsi"/>
          <w:sz w:val="22"/>
          <w:szCs w:val="22"/>
        </w:rPr>
        <w:t xml:space="preserve"> in accordance with the “Notice” section in th</w:t>
      </w:r>
      <w:r w:rsidR="00BB5373" w:rsidRPr="000643E3">
        <w:rPr>
          <w:rFonts w:asciiTheme="minorHAnsi" w:hAnsiTheme="minorHAnsi" w:cstheme="minorHAnsi"/>
          <w:sz w:val="22"/>
          <w:szCs w:val="22"/>
        </w:rPr>
        <w:t>e</w:t>
      </w:r>
      <w:r w:rsidRPr="000643E3">
        <w:rPr>
          <w:rFonts w:asciiTheme="minorHAnsi" w:hAnsiTheme="minorHAnsi" w:cstheme="minorHAnsi"/>
          <w:sz w:val="22"/>
          <w:szCs w:val="22"/>
        </w:rPr>
        <w:t xml:space="preserve"> Code</w:t>
      </w:r>
      <w:r w:rsidR="000D2E5F" w:rsidRPr="000643E3">
        <w:rPr>
          <w:rFonts w:asciiTheme="minorHAnsi" w:hAnsiTheme="minorHAnsi" w:cstheme="minorHAnsi"/>
          <w:color w:val="221F1F"/>
          <w:sz w:val="22"/>
          <w:szCs w:val="22"/>
        </w:rPr>
        <w:t xml:space="preserve">, per section </w:t>
      </w:r>
      <w:r w:rsidRPr="000643E3">
        <w:rPr>
          <w:rFonts w:asciiTheme="minorHAnsi" w:hAnsiTheme="minorHAnsi" w:cstheme="minorHAnsi"/>
          <w:color w:val="221F1F"/>
          <w:sz w:val="22"/>
          <w:szCs w:val="22"/>
        </w:rPr>
        <w:t>4.5</w:t>
      </w:r>
      <w:r w:rsidR="000D2E5F" w:rsidRPr="000643E3">
        <w:rPr>
          <w:rFonts w:asciiTheme="minorHAnsi" w:hAnsiTheme="minorHAnsi" w:cstheme="minorHAnsi"/>
          <w:color w:val="221F1F"/>
          <w:sz w:val="22"/>
          <w:szCs w:val="22"/>
        </w:rPr>
        <w:t xml:space="preserve"> of the Code</w:t>
      </w:r>
      <w:r w:rsidR="00132AC4" w:rsidRPr="004C3390">
        <w:rPr>
          <w:rFonts w:asciiTheme="minorHAnsi" w:hAnsiTheme="minorHAnsi" w:cstheme="minorHAnsi"/>
          <w:sz w:val="22"/>
          <w:szCs w:val="22"/>
        </w:rPr>
        <w:t xml:space="preserve">, including subsections </w:t>
      </w:r>
      <w:r w:rsidR="00132AC4">
        <w:rPr>
          <w:rFonts w:asciiTheme="minorHAnsi" w:hAnsiTheme="minorHAnsi" w:cstheme="minorHAnsi"/>
          <w:sz w:val="22"/>
          <w:szCs w:val="22"/>
        </w:rPr>
        <w:t>4.5.1</w:t>
      </w:r>
      <w:r w:rsidR="00132AC4" w:rsidRPr="004C3390">
        <w:rPr>
          <w:rFonts w:asciiTheme="minorHAnsi" w:hAnsiTheme="minorHAnsi" w:cstheme="minorHAnsi"/>
          <w:sz w:val="22"/>
          <w:szCs w:val="22"/>
        </w:rPr>
        <w:t xml:space="preserve"> through </w:t>
      </w:r>
      <w:r w:rsidR="00132AC4">
        <w:rPr>
          <w:rFonts w:asciiTheme="minorHAnsi" w:hAnsiTheme="minorHAnsi" w:cstheme="minorHAnsi"/>
          <w:sz w:val="22"/>
          <w:szCs w:val="22"/>
        </w:rPr>
        <w:t>4.5.3</w:t>
      </w:r>
      <w:r w:rsidR="00132AC4">
        <w:rPr>
          <w:rFonts w:asciiTheme="minorHAnsi" w:hAnsiTheme="minorHAnsi" w:cstheme="minorHAnsi"/>
          <w:color w:val="221F1F"/>
          <w:sz w:val="22"/>
          <w:szCs w:val="22"/>
        </w:rPr>
        <w:t xml:space="preserve">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[Note: 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some of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this is optional – 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elements of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section 4.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>5 are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a Code ‘recommendation’, not ‘requirement’]</w:t>
      </w:r>
      <w:r w:rsidR="00132AC4">
        <w:rPr>
          <w:rFonts w:asciiTheme="minorHAnsi" w:hAnsiTheme="minorHAnsi" w:cstheme="minorHAnsi"/>
          <w:sz w:val="22"/>
          <w:szCs w:val="22"/>
        </w:rPr>
        <w:t>.</w:t>
      </w:r>
    </w:p>
    <w:p w14:paraId="676A5328" w14:textId="77777777" w:rsidR="00BB5373" w:rsidRPr="000643E3" w:rsidRDefault="00BB5373" w:rsidP="000643E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6DFC0A2" w14:textId="5D611520" w:rsidR="00BB5373" w:rsidRDefault="00BB5373" w:rsidP="00132AC4">
      <w:pPr>
        <w:pStyle w:val="BodyText"/>
        <w:numPr>
          <w:ilvl w:val="0"/>
          <w:numId w:val="3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643E3">
        <w:rPr>
          <w:rFonts w:asciiTheme="minorHAnsi" w:hAnsiTheme="minorHAnsi" w:cstheme="minorHAnsi"/>
          <w:sz w:val="22"/>
          <w:szCs w:val="22"/>
        </w:rPr>
        <w:t>The credit union will provide notices to members and account holders as set out in section 4.6 of the Code</w:t>
      </w:r>
      <w:bookmarkStart w:id="5" w:name="_Changes_to_Terms"/>
      <w:bookmarkEnd w:id="5"/>
      <w:r w:rsidR="00132AC4" w:rsidRPr="004C3390">
        <w:rPr>
          <w:rFonts w:asciiTheme="minorHAnsi" w:hAnsiTheme="minorHAnsi" w:cstheme="minorHAnsi"/>
          <w:sz w:val="22"/>
          <w:szCs w:val="22"/>
        </w:rPr>
        <w:t xml:space="preserve">, including subsections </w:t>
      </w:r>
      <w:r w:rsidR="00132AC4">
        <w:rPr>
          <w:rFonts w:asciiTheme="minorHAnsi" w:hAnsiTheme="minorHAnsi" w:cstheme="minorHAnsi"/>
          <w:sz w:val="22"/>
          <w:szCs w:val="22"/>
        </w:rPr>
        <w:t>4.6.1</w:t>
      </w:r>
      <w:r w:rsidR="00132AC4" w:rsidRPr="004C3390">
        <w:rPr>
          <w:rFonts w:asciiTheme="minorHAnsi" w:hAnsiTheme="minorHAnsi" w:cstheme="minorHAnsi"/>
          <w:sz w:val="22"/>
          <w:szCs w:val="22"/>
        </w:rPr>
        <w:t xml:space="preserve"> through </w:t>
      </w:r>
      <w:r w:rsidR="00132AC4">
        <w:rPr>
          <w:rFonts w:asciiTheme="minorHAnsi" w:hAnsiTheme="minorHAnsi" w:cstheme="minorHAnsi"/>
          <w:sz w:val="22"/>
          <w:szCs w:val="22"/>
        </w:rPr>
        <w:t xml:space="preserve">4.6.4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[Note: 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some of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this is optional – 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elements of 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section 4.</w:t>
      </w:r>
      <w:r w:rsidR="00132AC4">
        <w:rPr>
          <w:rFonts w:asciiTheme="minorHAnsi" w:hAnsiTheme="minorHAnsi" w:cstheme="minorHAnsi"/>
          <w:i/>
          <w:iCs/>
          <w:color w:val="0070C0"/>
          <w:sz w:val="22"/>
          <w:szCs w:val="22"/>
        </w:rPr>
        <w:t>6 are</w:t>
      </w:r>
      <w:r w:rsidR="00132AC4" w:rsidRPr="00DD713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a Code ‘recommendation’, not ‘requirement’]</w:t>
      </w:r>
      <w:r w:rsidR="00132AC4">
        <w:rPr>
          <w:rFonts w:asciiTheme="minorHAnsi" w:hAnsiTheme="minorHAnsi" w:cstheme="minorHAnsi"/>
          <w:sz w:val="22"/>
          <w:szCs w:val="22"/>
        </w:rPr>
        <w:t>.</w:t>
      </w:r>
    </w:p>
    <w:p w14:paraId="025C8957" w14:textId="77777777" w:rsidR="0008140C" w:rsidRPr="000643E3" w:rsidRDefault="0008140C" w:rsidP="00132AC4">
      <w:pPr>
        <w:pStyle w:val="BodyText"/>
        <w:ind w:left="567"/>
        <w:rPr>
          <w:rFonts w:asciiTheme="minorHAnsi" w:hAnsiTheme="minorHAnsi" w:cstheme="minorHAnsi"/>
          <w:sz w:val="22"/>
          <w:szCs w:val="22"/>
        </w:rPr>
      </w:pPr>
    </w:p>
    <w:p w14:paraId="0658C278" w14:textId="516C03C9" w:rsidR="001143FC" w:rsidRPr="000643E3" w:rsidRDefault="000643E3" w:rsidP="00132AC4">
      <w:pPr>
        <w:pStyle w:val="BodyText"/>
        <w:numPr>
          <w:ilvl w:val="0"/>
          <w:numId w:val="3"/>
        </w:numPr>
        <w:ind w:left="567"/>
        <w:rPr>
          <w:rFonts w:ascii="Calibri" w:hAnsi="Calibri" w:cs="Calibri"/>
          <w:i/>
          <w:iCs/>
          <w:sz w:val="22"/>
          <w:szCs w:val="22"/>
        </w:rPr>
      </w:pPr>
      <w:r w:rsidRPr="000643E3">
        <w:rPr>
          <w:rFonts w:ascii="Calibri" w:hAnsi="Calibri" w:cs="Calibri"/>
          <w:sz w:val="22"/>
          <w:szCs w:val="22"/>
        </w:rPr>
        <w:t>W</w:t>
      </w:r>
      <w:r w:rsidRPr="000643E3">
        <w:rPr>
          <w:rFonts w:ascii="Calibri" w:hAnsi="Calibri" w:cs="Calibri"/>
          <w:bCs/>
          <w:sz w:val="22"/>
          <w:szCs w:val="22"/>
        </w:rPr>
        <w:t>hen the credit union uses the words “bank”, and/or “banking” and/or “banker” in advertisements or marketing materials,</w:t>
      </w:r>
      <w:r w:rsidRPr="000643E3">
        <w:rPr>
          <w:rFonts w:ascii="Calibri" w:hAnsi="Calibri" w:cs="Calibri"/>
          <w:b/>
          <w:sz w:val="22"/>
          <w:szCs w:val="22"/>
        </w:rPr>
        <w:t xml:space="preserve"> </w:t>
      </w:r>
      <w:r w:rsidRPr="000643E3">
        <w:rPr>
          <w:rFonts w:ascii="Calibri" w:hAnsi="Calibri" w:cs="Calibri"/>
          <w:sz w:val="22"/>
          <w:szCs w:val="22"/>
        </w:rPr>
        <w:t xml:space="preserve">the credit union will </w:t>
      </w:r>
      <w:r w:rsidR="0008140C">
        <w:rPr>
          <w:rFonts w:ascii="Calibri" w:hAnsi="Calibri" w:cs="Calibri"/>
          <w:sz w:val="22"/>
          <w:szCs w:val="22"/>
        </w:rPr>
        <w:t>do so p</w:t>
      </w:r>
      <w:r w:rsidR="001143FC" w:rsidRPr="000643E3">
        <w:rPr>
          <w:rFonts w:ascii="Calibri" w:hAnsi="Calibri" w:cs="Calibri"/>
          <w:sz w:val="22"/>
          <w:szCs w:val="22"/>
        </w:rPr>
        <w:t xml:space="preserve">er section </w:t>
      </w:r>
      <w:r w:rsidRPr="000643E3">
        <w:rPr>
          <w:rFonts w:ascii="Calibri" w:hAnsi="Calibri" w:cs="Calibri"/>
          <w:sz w:val="22"/>
          <w:szCs w:val="22"/>
        </w:rPr>
        <w:t>4.7</w:t>
      </w:r>
      <w:r w:rsidR="001143FC" w:rsidRPr="000643E3">
        <w:rPr>
          <w:rFonts w:ascii="Calibri" w:hAnsi="Calibri" w:cs="Calibri"/>
          <w:sz w:val="22"/>
          <w:szCs w:val="22"/>
        </w:rPr>
        <w:t xml:space="preserve"> of the Code</w:t>
      </w:r>
      <w:r w:rsidR="00132AC4" w:rsidRPr="004C3390">
        <w:rPr>
          <w:rFonts w:asciiTheme="minorHAnsi" w:hAnsiTheme="minorHAnsi" w:cstheme="minorHAnsi"/>
          <w:sz w:val="22"/>
          <w:szCs w:val="22"/>
        </w:rPr>
        <w:t xml:space="preserve">, including subsections </w:t>
      </w:r>
      <w:r w:rsidR="00132AC4">
        <w:rPr>
          <w:rFonts w:asciiTheme="minorHAnsi" w:hAnsiTheme="minorHAnsi" w:cstheme="minorHAnsi"/>
          <w:sz w:val="22"/>
          <w:szCs w:val="22"/>
        </w:rPr>
        <w:t>4.7.1</w:t>
      </w:r>
      <w:r w:rsidR="00132AC4" w:rsidRPr="004C3390">
        <w:rPr>
          <w:rFonts w:asciiTheme="minorHAnsi" w:hAnsiTheme="minorHAnsi" w:cstheme="minorHAnsi"/>
          <w:sz w:val="22"/>
          <w:szCs w:val="22"/>
        </w:rPr>
        <w:t xml:space="preserve"> through </w:t>
      </w:r>
      <w:r w:rsidR="00132AC4">
        <w:rPr>
          <w:rFonts w:asciiTheme="minorHAnsi" w:hAnsiTheme="minorHAnsi" w:cstheme="minorHAnsi"/>
          <w:sz w:val="22"/>
          <w:szCs w:val="22"/>
        </w:rPr>
        <w:t>4.7.3</w:t>
      </w:r>
      <w:r>
        <w:rPr>
          <w:rFonts w:ascii="Calibri" w:hAnsi="Calibri" w:cs="Calibri"/>
          <w:sz w:val="22"/>
          <w:szCs w:val="22"/>
        </w:rPr>
        <w:t>.</w:t>
      </w:r>
    </w:p>
    <w:p w14:paraId="04F2BC6B" w14:textId="77777777" w:rsidR="00B2499A" w:rsidRPr="000643E3" w:rsidRDefault="00B2499A" w:rsidP="000643E3">
      <w:pPr>
        <w:pStyle w:val="BodyText"/>
        <w:ind w:left="1440"/>
        <w:rPr>
          <w:rFonts w:asciiTheme="minorHAnsi" w:hAnsiTheme="minorHAnsi" w:cstheme="minorHAnsi"/>
          <w:i/>
          <w:iCs/>
          <w:sz w:val="22"/>
          <w:szCs w:val="22"/>
        </w:rPr>
      </w:pPr>
    </w:p>
    <w:p w14:paraId="412FA181" w14:textId="77777777" w:rsidR="00132AC4" w:rsidRPr="008553CC" w:rsidRDefault="00132AC4" w:rsidP="00132AC4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6" w:name="_Hlk74667228"/>
      <w:r w:rsidRPr="008553CC">
        <w:rPr>
          <w:rFonts w:asciiTheme="minorHAnsi" w:hAnsiTheme="minorHAnsi" w:cstheme="minorHAnsi"/>
          <w:sz w:val="22"/>
          <w:szCs w:val="22"/>
        </w:rPr>
        <w:t>Responsibilities:</w:t>
      </w:r>
    </w:p>
    <w:p w14:paraId="5B53AA94" w14:textId="77777777" w:rsidR="00132AC4" w:rsidRDefault="00132AC4" w:rsidP="00132AC4">
      <w:pPr>
        <w:pStyle w:val="BodyText"/>
        <w:ind w:left="119" w:right="196"/>
        <w:rPr>
          <w:rFonts w:asciiTheme="minorHAnsi" w:hAnsiTheme="minorHAnsi" w:cstheme="minorHAnsi"/>
          <w:sz w:val="22"/>
          <w:szCs w:val="22"/>
        </w:rPr>
      </w:pPr>
      <w:bookmarkStart w:id="7" w:name="Management_of_the_credit_union_is_respon"/>
      <w:bookmarkEnd w:id="7"/>
    </w:p>
    <w:p w14:paraId="33C3CC01" w14:textId="77777777" w:rsidR="00132AC4" w:rsidRPr="00825B19" w:rsidRDefault="00132AC4" w:rsidP="00132AC4">
      <w:pPr>
        <w:pStyle w:val="BodyText"/>
        <w:ind w:left="119" w:right="196"/>
        <w:rPr>
          <w:rFonts w:asciiTheme="minorHAnsi" w:hAnsiTheme="minorHAnsi" w:cstheme="minorHAnsi"/>
          <w:sz w:val="22"/>
          <w:szCs w:val="22"/>
        </w:rPr>
      </w:pPr>
      <w:r w:rsidRPr="00825B19">
        <w:rPr>
          <w:rFonts w:asciiTheme="minorHAnsi" w:hAnsiTheme="minorHAnsi" w:cstheme="minorHAnsi"/>
          <w:sz w:val="22"/>
          <w:szCs w:val="22"/>
        </w:rPr>
        <w:t>Management of the credit union is responsible for managing, monitoring and</w:t>
      </w:r>
      <w:r w:rsidRPr="00825B1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25B19">
        <w:rPr>
          <w:rFonts w:asciiTheme="minorHAnsi" w:hAnsiTheme="minorHAnsi" w:cstheme="minorHAnsi"/>
          <w:sz w:val="22"/>
          <w:szCs w:val="22"/>
        </w:rPr>
        <w:t>controlling credit union operations to ensure adherence to principles and practices set out in the Code.</w:t>
      </w:r>
    </w:p>
    <w:p w14:paraId="79760CD7" w14:textId="77777777" w:rsidR="00132AC4" w:rsidRPr="00825B19" w:rsidRDefault="00132AC4" w:rsidP="00132AC4">
      <w:pPr>
        <w:pStyle w:val="BodyText"/>
        <w:ind w:left="119" w:right="196"/>
        <w:rPr>
          <w:rFonts w:asciiTheme="minorHAnsi" w:hAnsiTheme="minorHAnsi" w:cstheme="minorHAnsi"/>
          <w:color w:val="221F1F"/>
          <w:sz w:val="22"/>
          <w:szCs w:val="22"/>
        </w:rPr>
      </w:pPr>
    </w:p>
    <w:p w14:paraId="40D78313" w14:textId="77777777" w:rsidR="00132AC4" w:rsidRPr="00825B19" w:rsidRDefault="00132AC4" w:rsidP="00132AC4">
      <w:pPr>
        <w:pStyle w:val="BodyText"/>
        <w:ind w:left="119" w:right="196"/>
        <w:rPr>
          <w:rFonts w:asciiTheme="minorHAnsi" w:hAnsiTheme="minorHAnsi" w:cstheme="minorHAnsi"/>
          <w:sz w:val="22"/>
          <w:szCs w:val="22"/>
        </w:rPr>
      </w:pPr>
      <w:r w:rsidRPr="00825B19">
        <w:rPr>
          <w:rFonts w:asciiTheme="minorHAnsi" w:hAnsiTheme="minorHAnsi" w:cstheme="minorHAnsi"/>
          <w:color w:val="221F1F"/>
          <w:sz w:val="22"/>
          <w:szCs w:val="22"/>
        </w:rPr>
        <w:t>The Board is responsible for overseeing the credit union’s adherence to the principles in the Code, including reviewing the results of the credit union’s annual self-assessment</w:t>
      </w:r>
      <w:r>
        <w:rPr>
          <w:rFonts w:asciiTheme="minorHAnsi" w:hAnsiTheme="minorHAnsi" w:cstheme="minorHAnsi"/>
          <w:color w:val="221F1F"/>
          <w:sz w:val="22"/>
          <w:szCs w:val="22"/>
        </w:rPr>
        <w:t xml:space="preserve"> and taking necessary action to remedy deficiencies, at least </w:t>
      </w:r>
      <w:r w:rsidRPr="00825B19">
        <w:rPr>
          <w:rFonts w:asciiTheme="minorHAnsi" w:hAnsiTheme="minorHAnsi" w:cstheme="minorHAnsi"/>
          <w:color w:val="221F1F"/>
          <w:sz w:val="22"/>
          <w:szCs w:val="22"/>
        </w:rPr>
        <w:t>annually</w:t>
      </w:r>
      <w:r>
        <w:rPr>
          <w:rFonts w:ascii="Calibri" w:hAnsi="Calibri" w:cs="Calibri"/>
          <w:sz w:val="22"/>
          <w:szCs w:val="22"/>
        </w:rPr>
        <w:t xml:space="preserve">, </w:t>
      </w:r>
      <w:r w:rsidRPr="00093B19">
        <w:rPr>
          <w:rFonts w:ascii="Calibri" w:hAnsi="Calibri" w:cs="Calibri"/>
          <w:sz w:val="22"/>
          <w:szCs w:val="22"/>
        </w:rPr>
        <w:t>per section 1.1 of the Code.</w:t>
      </w:r>
    </w:p>
    <w:p w14:paraId="26CC4A31" w14:textId="77777777" w:rsidR="00132AC4" w:rsidRPr="00D46CC6" w:rsidRDefault="00132AC4" w:rsidP="00132AC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06470EEC" w14:textId="77777777" w:rsidR="00132AC4" w:rsidRPr="00D46CC6" w:rsidRDefault="00132AC4" w:rsidP="00132AC4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8" w:name="Monitoring_and_Reporting:"/>
      <w:bookmarkEnd w:id="8"/>
      <w:r w:rsidRPr="00D46CC6">
        <w:rPr>
          <w:rFonts w:asciiTheme="minorHAnsi" w:hAnsiTheme="minorHAnsi" w:cstheme="minorHAnsi"/>
          <w:sz w:val="22"/>
          <w:szCs w:val="22"/>
        </w:rPr>
        <w:t>Monitoring</w:t>
      </w:r>
      <w:r w:rsidRPr="00D46C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46CC6">
        <w:rPr>
          <w:rFonts w:asciiTheme="minorHAnsi" w:hAnsiTheme="minorHAnsi" w:cstheme="minorHAnsi"/>
          <w:sz w:val="22"/>
          <w:szCs w:val="22"/>
        </w:rPr>
        <w:t>and</w:t>
      </w:r>
      <w:r w:rsidRPr="00D46CC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D46CC6">
        <w:rPr>
          <w:rFonts w:asciiTheme="minorHAnsi" w:hAnsiTheme="minorHAnsi" w:cstheme="minorHAnsi"/>
          <w:sz w:val="22"/>
          <w:szCs w:val="22"/>
        </w:rPr>
        <w:t>Reporting:</w:t>
      </w:r>
    </w:p>
    <w:p w14:paraId="6F143465" w14:textId="77777777" w:rsidR="00132AC4" w:rsidRPr="00825B19" w:rsidRDefault="00132AC4" w:rsidP="00132AC4">
      <w:pPr>
        <w:pStyle w:val="Heading2"/>
        <w:spacing w:before="244"/>
        <w:ind w:left="142"/>
        <w:rPr>
          <w:rFonts w:asciiTheme="minorHAnsi" w:hAnsiTheme="minorHAnsi" w:cstheme="minorHAnsi"/>
          <w:b w:val="0"/>
          <w:bCs w:val="0"/>
          <w:color w:val="221F1F"/>
          <w:sz w:val="22"/>
          <w:szCs w:val="22"/>
        </w:rPr>
      </w:pPr>
      <w:r w:rsidRPr="00825B19">
        <w:rPr>
          <w:rFonts w:asciiTheme="minorHAnsi" w:hAnsiTheme="minorHAnsi" w:cstheme="minorHAnsi"/>
          <w:b w:val="0"/>
          <w:bCs w:val="0"/>
          <w:color w:val="221F1F"/>
          <w:sz w:val="22"/>
          <w:szCs w:val="22"/>
        </w:rPr>
        <w:t>Senior Management is responsible for reporting to the Board on the credit union’s adherence to the principles in this Code, including the results of the credit union’s annual self-assessment</w:t>
      </w:r>
      <w:r>
        <w:rPr>
          <w:rFonts w:asciiTheme="minorHAnsi" w:hAnsiTheme="minorHAnsi" w:cstheme="minorHAnsi"/>
          <w:b w:val="0"/>
          <w:bCs w:val="0"/>
          <w:color w:val="221F1F"/>
          <w:sz w:val="22"/>
          <w:szCs w:val="22"/>
        </w:rPr>
        <w:t>,</w:t>
      </w:r>
      <w:r w:rsidRPr="00EC2F54">
        <w:rPr>
          <w:rFonts w:asciiTheme="minorHAnsi" w:hAnsiTheme="minorHAnsi" w:cstheme="minorHAnsi"/>
          <w:b w:val="0"/>
          <w:bCs w:val="0"/>
          <w:color w:val="221F1F"/>
          <w:sz w:val="22"/>
          <w:szCs w:val="22"/>
        </w:rPr>
        <w:t xml:space="preserve"> </w:t>
      </w:r>
      <w:r w:rsidRPr="00825B19">
        <w:rPr>
          <w:rFonts w:asciiTheme="minorHAnsi" w:hAnsiTheme="minorHAnsi" w:cstheme="minorHAnsi"/>
          <w:b w:val="0"/>
          <w:bCs w:val="0"/>
          <w:color w:val="221F1F"/>
          <w:sz w:val="22"/>
          <w:szCs w:val="22"/>
        </w:rPr>
        <w:t>at least annually, per section 1.3 of the Code.</w:t>
      </w:r>
    </w:p>
    <w:p w14:paraId="752AFD86" w14:textId="77777777" w:rsidR="00132AC4" w:rsidRPr="00825B19" w:rsidRDefault="00132AC4" w:rsidP="00132AC4">
      <w:pPr>
        <w:pStyle w:val="BodyText"/>
        <w:spacing w:before="241"/>
        <w:ind w:left="142" w:right="461"/>
        <w:rPr>
          <w:rFonts w:asciiTheme="minorHAnsi" w:hAnsiTheme="minorHAnsi" w:cstheme="minorHAnsi"/>
          <w:sz w:val="22"/>
          <w:szCs w:val="22"/>
        </w:rPr>
      </w:pPr>
      <w:r w:rsidRPr="00825B19">
        <w:rPr>
          <w:rFonts w:asciiTheme="minorHAnsi" w:hAnsiTheme="minorHAnsi" w:cstheme="minorHAnsi"/>
          <w:sz w:val="22"/>
          <w:szCs w:val="22"/>
        </w:rPr>
        <w:t xml:space="preserve">The Board is responsible for monitoring and reviewing market conduct within the credit union’s business practices on a regular basis, no less than every </w:t>
      </w:r>
      <w:r w:rsidRPr="00825B19">
        <w:rPr>
          <w:rFonts w:asciiTheme="minorHAnsi" w:hAnsiTheme="minorHAnsi" w:cstheme="minorHAnsi"/>
          <w:sz w:val="22"/>
          <w:szCs w:val="22"/>
          <w:highlight w:val="cyan"/>
        </w:rPr>
        <w:t>___</w:t>
      </w:r>
      <w:r w:rsidRPr="00825B19">
        <w:rPr>
          <w:rFonts w:asciiTheme="minorHAnsi" w:hAnsiTheme="minorHAnsi" w:cstheme="minorHAnsi"/>
          <w:sz w:val="22"/>
          <w:szCs w:val="22"/>
        </w:rPr>
        <w:t xml:space="preserve"> years.</w:t>
      </w:r>
    </w:p>
    <w:p w14:paraId="0D4D012F" w14:textId="77777777" w:rsidR="00132AC4" w:rsidRPr="00825B19" w:rsidRDefault="00132AC4" w:rsidP="00132AC4">
      <w:pPr>
        <w:pStyle w:val="BodyText"/>
        <w:spacing w:before="241"/>
        <w:ind w:left="142" w:right="461"/>
        <w:rPr>
          <w:rFonts w:asciiTheme="minorHAnsi" w:hAnsiTheme="minorHAnsi" w:cstheme="minorHAnsi"/>
          <w:sz w:val="22"/>
          <w:szCs w:val="22"/>
        </w:rPr>
      </w:pPr>
      <w:r w:rsidRPr="00825B19">
        <w:rPr>
          <w:rFonts w:asciiTheme="minorHAnsi" w:hAnsiTheme="minorHAnsi" w:cstheme="minorHAnsi"/>
          <w:sz w:val="22"/>
          <w:szCs w:val="22"/>
        </w:rPr>
        <w:t>The Board is responsible for reviewing, approving and maintaining this policy annually.</w:t>
      </w:r>
    </w:p>
    <w:p w14:paraId="5E331328" w14:textId="77777777" w:rsidR="00132AC4" w:rsidRPr="004C3390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6872D060" w14:textId="77777777" w:rsidR="00132AC4" w:rsidRPr="004C3390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sz w:val="22"/>
          <w:szCs w:val="22"/>
        </w:rPr>
      </w:pPr>
      <w:bookmarkStart w:id="9" w:name="_Hlk75251213"/>
      <w:bookmarkStart w:id="10" w:name="_Hlk74667407"/>
      <w:r w:rsidRPr="004C3390">
        <w:rPr>
          <w:rFonts w:asciiTheme="minorHAnsi" w:hAnsiTheme="minorHAnsi" w:cstheme="minorHAnsi"/>
          <w:b/>
          <w:bCs/>
          <w:sz w:val="22"/>
          <w:szCs w:val="22"/>
        </w:rPr>
        <w:t>Appended Documents</w:t>
      </w:r>
      <w:r w:rsidRPr="004C339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7B0F3D4" w14:textId="77777777" w:rsidR="00132AC4" w:rsidRPr="004C3390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7A86D6A4" w14:textId="77777777" w:rsidR="00132AC4" w:rsidRPr="004C3390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 w:rsidRPr="004C3390">
        <w:rPr>
          <w:rFonts w:asciiTheme="minorHAnsi" w:hAnsiTheme="minorHAnsi" w:cstheme="minorHAnsi"/>
        </w:rPr>
        <w:t xml:space="preserve">Market Conduct Code for Ontario Credit Unions </w:t>
      </w:r>
    </w:p>
    <w:p w14:paraId="21E54E7C" w14:textId="77777777" w:rsidR="00132AC4" w:rsidRPr="004C3390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00BD17" w14:textId="77777777" w:rsidR="00132AC4" w:rsidRPr="009B5676" w:rsidRDefault="00132AC4" w:rsidP="00132AC4">
      <w:pPr>
        <w:pStyle w:val="BodyText"/>
        <w:keepNext/>
        <w:spacing w:line="243" w:lineRule="exact"/>
        <w:ind w:left="120"/>
        <w:rPr>
          <w:rFonts w:asciiTheme="minorHAnsi" w:hAnsiTheme="minorHAnsi" w:cstheme="minorHAnsi"/>
          <w:b/>
          <w:bCs/>
          <w:sz w:val="22"/>
          <w:szCs w:val="22"/>
        </w:rPr>
      </w:pPr>
      <w:r w:rsidRPr="009B5676">
        <w:rPr>
          <w:rFonts w:asciiTheme="minorHAnsi" w:hAnsiTheme="minorHAnsi" w:cstheme="minorHAnsi"/>
          <w:b/>
          <w:bCs/>
          <w:sz w:val="22"/>
          <w:szCs w:val="22"/>
        </w:rPr>
        <w:t>Related</w:t>
      </w:r>
      <w:r w:rsidRPr="009B5676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P</w:t>
      </w:r>
      <w:r w:rsidRPr="009B5676">
        <w:rPr>
          <w:rFonts w:asciiTheme="minorHAnsi" w:hAnsiTheme="minorHAnsi" w:cstheme="minorHAnsi"/>
          <w:b/>
          <w:bCs/>
          <w:sz w:val="22"/>
          <w:szCs w:val="22"/>
        </w:rPr>
        <w:t>olicies:</w:t>
      </w:r>
      <w:bookmarkEnd w:id="9"/>
      <w:r w:rsidRPr="009B56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B567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[examples] </w:t>
      </w:r>
    </w:p>
    <w:p w14:paraId="38631796" w14:textId="77777777" w:rsidR="00132AC4" w:rsidRPr="009B5676" w:rsidRDefault="00132AC4" w:rsidP="00132AC4">
      <w:pPr>
        <w:pStyle w:val="BodyText"/>
        <w:keepNext/>
        <w:spacing w:line="243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4C8CB5A0" w14:textId="77777777" w:rsidR="00132AC4" w:rsidRPr="009B5676" w:rsidRDefault="00132AC4" w:rsidP="00132AC4">
      <w:pPr>
        <w:pStyle w:val="ListParagraph"/>
        <w:keepNext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bookmarkStart w:id="11" w:name="_Fair_Sales_"/>
      <w:bookmarkEnd w:id="11"/>
      <w:r w:rsidRPr="009B5676">
        <w:rPr>
          <w:rFonts w:asciiTheme="minorHAnsi" w:hAnsiTheme="minorHAnsi" w:cstheme="minorHAnsi"/>
        </w:rPr>
        <w:t>Business Practices Policy</w:t>
      </w:r>
    </w:p>
    <w:bookmarkEnd w:id="6"/>
    <w:bookmarkEnd w:id="10"/>
    <w:p w14:paraId="4D2096B0" w14:textId="77777777" w:rsidR="00132AC4" w:rsidRPr="009B5676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 w:rsidRPr="009B5676">
        <w:rPr>
          <w:rFonts w:asciiTheme="minorHAnsi" w:hAnsiTheme="minorHAnsi" w:cstheme="minorHAnsi"/>
        </w:rPr>
        <w:t>Fair Treatment and Fair Sales Policy</w:t>
      </w:r>
    </w:p>
    <w:p w14:paraId="10A1357C" w14:textId="77777777" w:rsidR="00D300B5" w:rsidRPr="009B5676" w:rsidRDefault="00D300B5" w:rsidP="00D300B5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to Banking Services</w:t>
      </w:r>
      <w:r w:rsidRPr="009B5676">
        <w:rPr>
          <w:rFonts w:asciiTheme="minorHAnsi" w:hAnsiTheme="minorHAnsi" w:cstheme="minorHAnsi"/>
        </w:rPr>
        <w:t xml:space="preserve"> Policy</w:t>
      </w:r>
    </w:p>
    <w:p w14:paraId="5200614B" w14:textId="77777777" w:rsidR="00132AC4" w:rsidRPr="009B5676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 w:rsidRPr="009B5676">
        <w:rPr>
          <w:rFonts w:asciiTheme="minorHAnsi" w:hAnsiTheme="minorHAnsi" w:cstheme="minorHAnsi"/>
        </w:rPr>
        <w:t>Complaint Handling Policy</w:t>
      </w:r>
    </w:p>
    <w:p w14:paraId="73A15116" w14:textId="77777777" w:rsidR="00132AC4" w:rsidRPr="009B5676" w:rsidRDefault="00132AC4" w:rsidP="00132AC4">
      <w:pPr>
        <w:tabs>
          <w:tab w:val="left" w:pos="839"/>
          <w:tab w:val="left" w:pos="840"/>
        </w:tabs>
        <w:spacing w:line="243" w:lineRule="exact"/>
        <w:rPr>
          <w:rFonts w:asciiTheme="minorHAnsi" w:hAnsiTheme="minorHAnsi" w:cstheme="minorHAnsi"/>
        </w:rPr>
      </w:pPr>
    </w:p>
    <w:p w14:paraId="0EB0A6D7" w14:textId="77777777" w:rsidR="00132AC4" w:rsidRPr="009B5676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b/>
          <w:bCs/>
          <w:sz w:val="22"/>
          <w:szCs w:val="22"/>
        </w:rPr>
      </w:pPr>
      <w:r w:rsidRPr="009B5676">
        <w:rPr>
          <w:rFonts w:asciiTheme="minorHAnsi" w:hAnsiTheme="minorHAnsi" w:cstheme="minorHAnsi"/>
          <w:b/>
          <w:bCs/>
          <w:sz w:val="22"/>
          <w:szCs w:val="22"/>
        </w:rPr>
        <w:t>Related</w:t>
      </w:r>
      <w:r w:rsidRPr="009B5676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P</w:t>
      </w:r>
      <w:r w:rsidRPr="009B5676">
        <w:rPr>
          <w:rFonts w:asciiTheme="minorHAnsi" w:hAnsiTheme="minorHAnsi" w:cstheme="minorHAnsi"/>
          <w:b/>
          <w:bCs/>
          <w:sz w:val="22"/>
          <w:szCs w:val="22"/>
        </w:rPr>
        <w:t xml:space="preserve">rocedures: </w:t>
      </w:r>
      <w:r w:rsidRPr="009B5676">
        <w:rPr>
          <w:rFonts w:asciiTheme="minorHAnsi" w:hAnsiTheme="minorHAnsi" w:cstheme="minorHAnsi"/>
          <w:i/>
          <w:iCs/>
          <w:color w:val="0070C0"/>
          <w:sz w:val="22"/>
          <w:szCs w:val="22"/>
        </w:rPr>
        <w:t>[examples]</w:t>
      </w:r>
    </w:p>
    <w:p w14:paraId="29FD44AC" w14:textId="77777777" w:rsidR="00132AC4" w:rsidRPr="009B5676" w:rsidRDefault="00132AC4" w:rsidP="00132AC4">
      <w:pPr>
        <w:pStyle w:val="BodyText"/>
        <w:spacing w:line="243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744047A8" w14:textId="77777777" w:rsidR="00132AC4" w:rsidRPr="009B5676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 w:rsidRPr="00762CBC">
        <w:rPr>
          <w:rFonts w:ascii="Calibri" w:eastAsiaTheme="minorHAnsi" w:hAnsi="Calibri" w:cs="Calibri"/>
          <w:lang w:val="en-CA"/>
        </w:rPr>
        <w:t xml:space="preserve">Disclosure </w:t>
      </w:r>
      <w:r w:rsidRPr="00762CBC">
        <w:rPr>
          <w:rFonts w:asciiTheme="minorHAnsi" w:hAnsiTheme="minorHAnsi" w:cstheme="minorHAnsi"/>
          <w:lang w:val="en-CA"/>
        </w:rPr>
        <w:t xml:space="preserve">(Before or When a Product or Service is Acquired) </w:t>
      </w:r>
      <w:r w:rsidRPr="00762CBC">
        <w:rPr>
          <w:rFonts w:ascii="Calibri" w:hAnsi="Calibri" w:cs="Calibri"/>
        </w:rPr>
        <w:t>Procedure</w:t>
      </w:r>
      <w:r w:rsidRPr="00B66214">
        <w:rPr>
          <w:rStyle w:val="FootnoteReference"/>
          <w:rFonts w:asciiTheme="minorHAnsi" w:hAnsiTheme="minorHAnsi" w:cstheme="minorHAnsi"/>
          <w:color w:val="0070C0"/>
        </w:rPr>
        <w:footnoteReference w:id="1"/>
      </w:r>
    </w:p>
    <w:p w14:paraId="6109FBAE" w14:textId="77777777" w:rsidR="00132AC4" w:rsidRPr="00317156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 w:rsidRPr="00762CBC">
        <w:rPr>
          <w:rFonts w:ascii="Calibri" w:eastAsiaTheme="minorHAnsi" w:hAnsi="Calibri" w:cs="Calibri"/>
          <w:lang w:val="en-CA"/>
        </w:rPr>
        <w:t xml:space="preserve">Disclosure </w:t>
      </w:r>
      <w:r w:rsidRPr="00762CBC">
        <w:rPr>
          <w:rFonts w:asciiTheme="minorHAnsi" w:hAnsiTheme="minorHAnsi" w:cstheme="minorHAnsi"/>
          <w:lang w:val="en-CA"/>
        </w:rPr>
        <w:t>(</w:t>
      </w:r>
      <w:r>
        <w:rPr>
          <w:rFonts w:asciiTheme="minorHAnsi" w:hAnsiTheme="minorHAnsi" w:cstheme="minorHAnsi"/>
          <w:lang w:val="en-CA"/>
        </w:rPr>
        <w:t>After</w:t>
      </w:r>
      <w:r w:rsidRPr="00762CBC">
        <w:rPr>
          <w:rFonts w:asciiTheme="minorHAnsi" w:hAnsiTheme="minorHAnsi" w:cstheme="minorHAnsi"/>
          <w:lang w:val="en-CA"/>
        </w:rPr>
        <w:t xml:space="preserve"> a Product or Service is Acquired) </w:t>
      </w:r>
      <w:r w:rsidRPr="00762CBC">
        <w:rPr>
          <w:rFonts w:ascii="Calibri" w:hAnsi="Calibri" w:cs="Calibri"/>
        </w:rPr>
        <w:t>Procedure</w:t>
      </w:r>
      <w:r w:rsidRPr="00317156">
        <w:rPr>
          <w:rStyle w:val="FootnoteReference"/>
          <w:rFonts w:asciiTheme="minorHAnsi" w:hAnsiTheme="minorHAnsi" w:cstheme="minorHAnsi"/>
          <w:color w:val="0070C0"/>
        </w:rPr>
        <w:t xml:space="preserve"> </w:t>
      </w:r>
      <w:r w:rsidRPr="00317156">
        <w:rPr>
          <w:rStyle w:val="FootnoteReference"/>
          <w:rFonts w:asciiTheme="minorHAnsi" w:hAnsiTheme="minorHAnsi" w:cstheme="minorHAnsi"/>
          <w:color w:val="0070C0"/>
        </w:rPr>
        <w:footnoteReference w:id="2"/>
      </w:r>
    </w:p>
    <w:p w14:paraId="57092198" w14:textId="77777777" w:rsidR="00132AC4" w:rsidRPr="00FC2CE4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221F1F"/>
        </w:rPr>
        <w:t>Notice</w:t>
      </w:r>
      <w:r w:rsidRPr="00317156">
        <w:rPr>
          <w:rFonts w:asciiTheme="minorHAnsi" w:hAnsiTheme="minorHAnsi" w:cstheme="minorHAnsi"/>
          <w:color w:val="221F1F"/>
        </w:rPr>
        <w:t xml:space="preserve"> Procedure</w:t>
      </w:r>
      <w:r w:rsidRPr="00317156">
        <w:rPr>
          <w:rStyle w:val="FootnoteReference"/>
          <w:rFonts w:asciiTheme="minorHAnsi" w:hAnsiTheme="minorHAnsi" w:cstheme="minorHAnsi"/>
          <w:color w:val="0070C0"/>
        </w:rPr>
        <w:footnoteReference w:id="3"/>
      </w:r>
    </w:p>
    <w:p w14:paraId="145AA6D4" w14:textId="77777777" w:rsidR="00132AC4" w:rsidRPr="009B5676" w:rsidRDefault="00132AC4" w:rsidP="00132AC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3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1F1F"/>
        </w:rPr>
        <w:t>Banking Terminology</w:t>
      </w:r>
      <w:r w:rsidRPr="004C3390">
        <w:rPr>
          <w:rFonts w:asciiTheme="minorHAnsi" w:hAnsiTheme="minorHAnsi" w:cstheme="minorHAnsi"/>
          <w:i/>
          <w:iCs/>
          <w:color w:val="221F1F"/>
        </w:rPr>
        <w:t xml:space="preserve"> </w:t>
      </w:r>
      <w:r w:rsidRPr="009B5676">
        <w:rPr>
          <w:rFonts w:asciiTheme="minorHAnsi" w:hAnsiTheme="minorHAnsi" w:cstheme="minorHAnsi"/>
          <w:color w:val="221F1F"/>
        </w:rPr>
        <w:t>Procedure</w:t>
      </w:r>
      <w:r w:rsidRPr="009B5676">
        <w:rPr>
          <w:rStyle w:val="FootnoteReference"/>
          <w:rFonts w:asciiTheme="minorHAnsi" w:hAnsiTheme="minorHAnsi" w:cstheme="minorHAnsi"/>
          <w:color w:val="0070C0"/>
        </w:rPr>
        <w:footnoteReference w:id="4"/>
      </w:r>
    </w:p>
    <w:p w14:paraId="26481D53" w14:textId="00327016" w:rsidR="005850BB" w:rsidRPr="00BA43E4" w:rsidRDefault="005850BB" w:rsidP="00132AC4">
      <w:pPr>
        <w:pStyle w:val="Heading2"/>
        <w:keepNext/>
        <w:rPr>
          <w:rFonts w:asciiTheme="minorHAnsi" w:hAnsiTheme="minorHAnsi" w:cstheme="minorHAnsi"/>
          <w:highlight w:val="cyan"/>
        </w:rPr>
      </w:pPr>
    </w:p>
    <w:sectPr w:rsidR="005850BB" w:rsidRPr="00BA43E4" w:rsidSect="003B09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851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82E43" w14:textId="77777777" w:rsidR="001A2D1C" w:rsidRDefault="001A2D1C" w:rsidP="008553CC">
      <w:r>
        <w:separator/>
      </w:r>
    </w:p>
  </w:endnote>
  <w:endnote w:type="continuationSeparator" w:id="0">
    <w:p w14:paraId="3ED779A8" w14:textId="77777777" w:rsidR="001A2D1C" w:rsidRDefault="001A2D1C" w:rsidP="0085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8347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754CAB2" w14:textId="7403B1D7" w:rsidR="00FD6838" w:rsidRPr="00FD6838" w:rsidRDefault="00FD6838">
        <w:pPr>
          <w:pStyle w:val="Footer"/>
          <w:jc w:val="right"/>
          <w:rPr>
            <w:rFonts w:asciiTheme="minorHAnsi" w:hAnsiTheme="minorHAnsi" w:cstheme="minorHAnsi"/>
          </w:rPr>
        </w:pPr>
        <w:r w:rsidRPr="00FD6838">
          <w:rPr>
            <w:rFonts w:asciiTheme="minorHAnsi" w:hAnsiTheme="minorHAnsi" w:cstheme="minorHAnsi"/>
          </w:rPr>
          <w:fldChar w:fldCharType="begin"/>
        </w:r>
        <w:r w:rsidRPr="00FD6838">
          <w:rPr>
            <w:rFonts w:asciiTheme="minorHAnsi" w:hAnsiTheme="minorHAnsi" w:cstheme="minorHAnsi"/>
          </w:rPr>
          <w:instrText xml:space="preserve"> PAGE   \* MERGEFORMAT </w:instrText>
        </w:r>
        <w:r w:rsidRPr="00FD6838">
          <w:rPr>
            <w:rFonts w:asciiTheme="minorHAnsi" w:hAnsiTheme="minorHAnsi" w:cstheme="minorHAnsi"/>
          </w:rPr>
          <w:fldChar w:fldCharType="separate"/>
        </w:r>
        <w:r w:rsidRPr="00FD6838">
          <w:rPr>
            <w:rFonts w:asciiTheme="minorHAnsi" w:hAnsiTheme="minorHAnsi" w:cstheme="minorHAnsi"/>
            <w:noProof/>
          </w:rPr>
          <w:t>2</w:t>
        </w:r>
        <w:r w:rsidRPr="00FD6838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2573508" w14:textId="77777777" w:rsidR="008553CC" w:rsidRDefault="00855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7157B" w14:textId="77777777" w:rsidR="001A2D1C" w:rsidRDefault="001A2D1C" w:rsidP="008553CC">
      <w:r>
        <w:separator/>
      </w:r>
    </w:p>
  </w:footnote>
  <w:footnote w:type="continuationSeparator" w:id="0">
    <w:p w14:paraId="7CD9A969" w14:textId="77777777" w:rsidR="001A2D1C" w:rsidRDefault="001A2D1C" w:rsidP="008553CC">
      <w:r>
        <w:continuationSeparator/>
      </w:r>
    </w:p>
  </w:footnote>
  <w:footnote w:id="1">
    <w:p w14:paraId="74BEC7FD" w14:textId="77777777" w:rsidR="00132AC4" w:rsidRPr="00F74510" w:rsidRDefault="00132AC4" w:rsidP="00132AC4">
      <w:pPr>
        <w:pStyle w:val="FootnoteText"/>
        <w:rPr>
          <w:rFonts w:asciiTheme="minorHAnsi" w:hAnsiTheme="minorHAnsi" w:cstheme="minorHAnsi"/>
          <w:color w:val="0070C0"/>
          <w:sz w:val="18"/>
          <w:szCs w:val="18"/>
          <w:lang w:val="en-CA"/>
        </w:rPr>
      </w:pPr>
      <w:r>
        <w:rPr>
          <w:rStyle w:val="FootnoteReference"/>
          <w:rFonts w:asciiTheme="minorHAnsi" w:hAnsiTheme="minorHAnsi" w:cstheme="minorHAnsi"/>
          <w:color w:val="0070C0"/>
          <w:sz w:val="18"/>
          <w:szCs w:val="18"/>
        </w:rPr>
        <w:t>1</w:t>
      </w:r>
      <w:r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bookmarkStart w:id="12" w:name="_Hlk78377651"/>
      <w:r w:rsidRPr="00132AC4">
        <w:rPr>
          <w:rFonts w:asciiTheme="minorHAnsi" w:hAnsiTheme="minorHAnsi" w:cstheme="minorHAnsi"/>
          <w:color w:val="0070C0"/>
        </w:rPr>
        <w:t>Disclosure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 </w:t>
      </w:r>
      <w:bookmarkStart w:id="13" w:name="_Hlk78373591"/>
      <w:r w:rsidRPr="00132AC4">
        <w:rPr>
          <w:rFonts w:asciiTheme="minorHAnsi" w:hAnsiTheme="minorHAnsi" w:cstheme="minorHAnsi"/>
          <w:color w:val="0070C0"/>
          <w:lang w:val="en-CA"/>
        </w:rPr>
        <w:t>(Before or When a Product or Service is Acquired) Procedure requirements are set out in s</w:t>
      </w:r>
      <w:r w:rsidRPr="00132AC4">
        <w:rPr>
          <w:rFonts w:asciiTheme="minorHAnsi" w:hAnsiTheme="minorHAnsi" w:cstheme="minorHAnsi"/>
          <w:color w:val="0070C0"/>
        </w:rPr>
        <w:t xml:space="preserve">s. 4.4.1 through 4.4.2 </w:t>
      </w:r>
      <w:r w:rsidRPr="00132AC4">
        <w:rPr>
          <w:rFonts w:asciiTheme="minorHAnsi" w:hAnsiTheme="minorHAnsi" w:cstheme="minorHAnsi"/>
          <w:color w:val="0070C0"/>
          <w:lang w:val="en-CA"/>
        </w:rPr>
        <w:t>of the Code</w:t>
      </w:r>
      <w:bookmarkEnd w:id="12"/>
      <w:bookmarkEnd w:id="13"/>
      <w:r w:rsidRPr="00132AC4">
        <w:rPr>
          <w:rFonts w:asciiTheme="minorHAnsi" w:hAnsiTheme="minorHAnsi" w:cstheme="minorHAnsi"/>
          <w:color w:val="0070C0"/>
          <w:lang w:val="en-CA"/>
        </w:rPr>
        <w:t xml:space="preserve"> </w:t>
      </w:r>
      <w:r w:rsidRPr="00132AC4">
        <w:rPr>
          <w:rFonts w:asciiTheme="minorHAnsi" w:hAnsiTheme="minorHAnsi" w:cstheme="minorHAnsi"/>
          <w:i/>
          <w:iCs/>
          <w:color w:val="0070C0"/>
        </w:rPr>
        <w:t>[Note: some of this is optional – elements of section 4.4 are a Code ‘recommendation’, not ‘requirement’]</w:t>
      </w:r>
      <w:r w:rsidRPr="00132AC4">
        <w:rPr>
          <w:rFonts w:asciiTheme="minorHAnsi" w:hAnsiTheme="minorHAnsi" w:cstheme="minorHAnsi"/>
        </w:rPr>
        <w:t>.</w:t>
      </w:r>
    </w:p>
    <w:p w14:paraId="560B1EDC" w14:textId="77777777" w:rsidR="00132AC4" w:rsidRPr="00F74510" w:rsidRDefault="00132AC4" w:rsidP="00132AC4">
      <w:pPr>
        <w:pStyle w:val="FootnoteText"/>
        <w:rPr>
          <w:rFonts w:asciiTheme="minorHAnsi" w:hAnsiTheme="minorHAnsi" w:cstheme="minorHAnsi"/>
          <w:color w:val="0070C0"/>
          <w:sz w:val="18"/>
          <w:szCs w:val="18"/>
        </w:rPr>
      </w:pPr>
    </w:p>
  </w:footnote>
  <w:footnote w:id="2">
    <w:p w14:paraId="03ABB1C5" w14:textId="77777777" w:rsidR="00132AC4" w:rsidRPr="00132AC4" w:rsidRDefault="00132AC4" w:rsidP="00132AC4">
      <w:pPr>
        <w:pStyle w:val="FootnoteText"/>
        <w:rPr>
          <w:rFonts w:asciiTheme="minorHAnsi" w:hAnsiTheme="minorHAnsi" w:cstheme="minorHAnsi"/>
          <w:color w:val="0070C0"/>
          <w:lang w:val="en-CA"/>
        </w:rPr>
      </w:pPr>
      <w:r w:rsidRPr="00F74510">
        <w:rPr>
          <w:rStyle w:val="FootnoteReference"/>
          <w:rFonts w:asciiTheme="minorHAnsi" w:hAnsiTheme="minorHAnsi" w:cstheme="minorHAnsi"/>
          <w:color w:val="0070C0"/>
        </w:rPr>
        <w:footnoteRef/>
      </w:r>
      <w:r w:rsidRPr="00F74510">
        <w:rPr>
          <w:rFonts w:asciiTheme="minorHAnsi" w:hAnsiTheme="minorHAnsi" w:cstheme="minorHAnsi"/>
          <w:color w:val="0070C0"/>
        </w:rPr>
        <w:t xml:space="preserve"> </w:t>
      </w:r>
      <w:r w:rsidRPr="00132AC4">
        <w:rPr>
          <w:rFonts w:asciiTheme="minorHAnsi" w:hAnsiTheme="minorHAnsi" w:cstheme="minorHAnsi"/>
          <w:color w:val="0070C0"/>
        </w:rPr>
        <w:t>Disclosure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 (After a Product or Service is Acquired) Procedure requirements are set out in s</w:t>
      </w:r>
      <w:r w:rsidRPr="00132AC4">
        <w:rPr>
          <w:rFonts w:asciiTheme="minorHAnsi" w:hAnsiTheme="minorHAnsi" w:cstheme="minorHAnsi"/>
          <w:color w:val="0070C0"/>
        </w:rPr>
        <w:t xml:space="preserve">s. 4.5.1 through 4.5.3 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of the Code </w:t>
      </w:r>
      <w:r w:rsidRPr="00132AC4">
        <w:rPr>
          <w:rFonts w:asciiTheme="minorHAnsi" w:hAnsiTheme="minorHAnsi" w:cstheme="minorHAnsi"/>
          <w:i/>
          <w:iCs/>
          <w:color w:val="0070C0"/>
        </w:rPr>
        <w:t>[Note: some of this is optional – elements of section 4.5 are a Code ‘recommendation’, not ‘requirement’]</w:t>
      </w:r>
      <w:r w:rsidRPr="00132AC4">
        <w:rPr>
          <w:rFonts w:asciiTheme="minorHAnsi" w:hAnsiTheme="minorHAnsi" w:cstheme="minorHAnsi"/>
        </w:rPr>
        <w:t>.</w:t>
      </w:r>
    </w:p>
  </w:footnote>
  <w:footnote w:id="3">
    <w:p w14:paraId="6CCF8FDB" w14:textId="77777777" w:rsidR="00132AC4" w:rsidRPr="00132AC4" w:rsidRDefault="00132AC4" w:rsidP="00132AC4">
      <w:pPr>
        <w:pStyle w:val="FootnoteText"/>
        <w:rPr>
          <w:rFonts w:asciiTheme="minorHAnsi" w:hAnsiTheme="minorHAnsi" w:cstheme="minorHAnsi"/>
          <w:color w:val="0070C0"/>
          <w:lang w:val="en-CA"/>
        </w:rPr>
      </w:pPr>
      <w:r w:rsidRPr="00132AC4">
        <w:rPr>
          <w:rStyle w:val="FootnoteReference"/>
          <w:rFonts w:asciiTheme="minorHAnsi" w:hAnsiTheme="minorHAnsi" w:cstheme="minorHAnsi"/>
          <w:color w:val="0070C0"/>
        </w:rPr>
        <w:footnoteRef/>
      </w:r>
      <w:r w:rsidRPr="00132AC4">
        <w:rPr>
          <w:rFonts w:asciiTheme="minorHAnsi" w:hAnsiTheme="minorHAnsi" w:cstheme="minorHAnsi"/>
          <w:color w:val="0070C0"/>
        </w:rPr>
        <w:t xml:space="preserve"> </w:t>
      </w:r>
      <w:r w:rsidRPr="00132AC4">
        <w:rPr>
          <w:rFonts w:ascii="Calibri" w:hAnsi="Calibri" w:cs="Calibri"/>
          <w:color w:val="0070C0"/>
        </w:rPr>
        <w:t>Notice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 Procedure requirements are set out in s</w:t>
      </w:r>
      <w:r w:rsidRPr="00132AC4">
        <w:rPr>
          <w:rFonts w:asciiTheme="minorHAnsi" w:hAnsiTheme="minorHAnsi" w:cstheme="minorHAnsi"/>
          <w:color w:val="0070C0"/>
        </w:rPr>
        <w:t xml:space="preserve">s. 4.6.1 through 4.6.4 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of the Code </w:t>
      </w:r>
      <w:r w:rsidRPr="00132AC4">
        <w:rPr>
          <w:rFonts w:asciiTheme="minorHAnsi" w:hAnsiTheme="minorHAnsi" w:cstheme="minorHAnsi"/>
          <w:i/>
          <w:iCs/>
          <w:color w:val="0070C0"/>
        </w:rPr>
        <w:t>[Note: some of this is optional – elements of section 4.6 are a Code ‘recommendation’, not ‘requirement’]</w:t>
      </w:r>
      <w:r w:rsidRPr="00132AC4">
        <w:rPr>
          <w:rFonts w:asciiTheme="minorHAnsi" w:hAnsiTheme="minorHAnsi" w:cstheme="minorHAnsi"/>
        </w:rPr>
        <w:t>.</w:t>
      </w:r>
    </w:p>
  </w:footnote>
  <w:footnote w:id="4">
    <w:p w14:paraId="71CEB4B9" w14:textId="77777777" w:rsidR="00132AC4" w:rsidRPr="009B5676" w:rsidRDefault="00132AC4" w:rsidP="00132AC4">
      <w:pPr>
        <w:pStyle w:val="FootnoteText"/>
        <w:rPr>
          <w:rFonts w:asciiTheme="minorHAnsi" w:hAnsiTheme="minorHAnsi" w:cstheme="minorHAnsi"/>
          <w:color w:val="0070C0"/>
          <w:sz w:val="18"/>
          <w:szCs w:val="18"/>
          <w:lang w:val="en-CA"/>
        </w:rPr>
      </w:pPr>
      <w:r w:rsidRPr="00132AC4">
        <w:rPr>
          <w:rStyle w:val="FootnoteReference"/>
          <w:rFonts w:asciiTheme="minorHAnsi" w:hAnsiTheme="minorHAnsi" w:cstheme="minorHAnsi"/>
          <w:color w:val="0070C0"/>
        </w:rPr>
        <w:footnoteRef/>
      </w:r>
      <w:r w:rsidRPr="00132AC4">
        <w:rPr>
          <w:rFonts w:asciiTheme="minorHAnsi" w:hAnsiTheme="minorHAnsi" w:cstheme="minorHAnsi"/>
          <w:color w:val="0070C0"/>
        </w:rPr>
        <w:t xml:space="preserve"> </w:t>
      </w:r>
      <w:r w:rsidRPr="00132AC4">
        <w:rPr>
          <w:rFonts w:ascii="Calibri" w:hAnsi="Calibri" w:cs="Calibri"/>
          <w:color w:val="0070C0"/>
        </w:rPr>
        <w:t>Banking</w:t>
      </w:r>
      <w:r w:rsidRPr="00132AC4">
        <w:rPr>
          <w:rFonts w:asciiTheme="minorHAnsi" w:hAnsiTheme="minorHAnsi" w:cstheme="minorHAnsi"/>
          <w:color w:val="0070C0"/>
          <w:lang w:val="en-CA"/>
        </w:rPr>
        <w:t xml:space="preserve"> Procedure requirements are set out in s</w:t>
      </w:r>
      <w:r w:rsidRPr="00132AC4">
        <w:rPr>
          <w:rFonts w:asciiTheme="minorHAnsi" w:hAnsiTheme="minorHAnsi" w:cstheme="minorHAnsi"/>
          <w:color w:val="0070C0"/>
        </w:rPr>
        <w:t>s. 4.7.1 through 4.7.3 of the Code</w:t>
      </w:r>
      <w:r w:rsidRPr="00284FF5">
        <w:rPr>
          <w:rFonts w:asciiTheme="minorHAnsi" w:hAnsiTheme="minorHAnsi" w:cstheme="minorHAnsi"/>
          <w:color w:val="0070C0"/>
          <w:sz w:val="18"/>
          <w:szCs w:val="18"/>
          <w:lang w:val="en-C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0DDD" w14:textId="7ED485F6" w:rsidR="008553CC" w:rsidRDefault="001A2D1C">
    <w:pPr>
      <w:pStyle w:val="Header"/>
    </w:pPr>
    <w:r>
      <w:rPr>
        <w:noProof/>
      </w:rPr>
      <w:pict w14:anchorId="77E3F2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05844" o:spid="_x0000_s2050" type="#_x0000_t136" style="position:absolute;margin-left:0;margin-top:0;width:486.85pt;height:13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B561F" w14:textId="1D3C413B" w:rsidR="008553CC" w:rsidRDefault="001A2D1C">
    <w:pPr>
      <w:pStyle w:val="Header"/>
    </w:pPr>
    <w:r>
      <w:rPr>
        <w:noProof/>
      </w:rPr>
      <w:pict w14:anchorId="7D576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05845" o:spid="_x0000_s2051" type="#_x0000_t136" style="position:absolute;margin-left:0;margin-top:0;width:486.85pt;height:13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F509" w14:textId="54A072ED" w:rsidR="008553CC" w:rsidRDefault="001A2D1C">
    <w:pPr>
      <w:pStyle w:val="Header"/>
    </w:pPr>
    <w:r>
      <w:rPr>
        <w:noProof/>
      </w:rPr>
      <w:pict w14:anchorId="4460E7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7505843" o:spid="_x0000_s2049" type="#_x0000_t136" style="position:absolute;margin-left:0;margin-top:0;width:486.85pt;height:13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81A0D"/>
    <w:multiLevelType w:val="hybridMultilevel"/>
    <w:tmpl w:val="265E4640"/>
    <w:lvl w:ilvl="0" w:tplc="6D64094E">
      <w:numFmt w:val="bullet"/>
      <w:lvlText w:val="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4F90BA3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58ECB7E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760D83A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C30880B2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D4BE1770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A18E6B58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8EC2332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8E6414E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7A36A4"/>
    <w:multiLevelType w:val="hybridMultilevel"/>
    <w:tmpl w:val="C65C6502"/>
    <w:lvl w:ilvl="0" w:tplc="1060A4F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666"/>
    <w:multiLevelType w:val="hybridMultilevel"/>
    <w:tmpl w:val="6CD22B6A"/>
    <w:lvl w:ilvl="0" w:tplc="D4623C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60A4F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965"/>
    <w:multiLevelType w:val="hybridMultilevel"/>
    <w:tmpl w:val="1130B1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4027"/>
    <w:multiLevelType w:val="hybridMultilevel"/>
    <w:tmpl w:val="BA5278C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A976CE"/>
    <w:multiLevelType w:val="hybridMultilevel"/>
    <w:tmpl w:val="D0F293F2"/>
    <w:lvl w:ilvl="0" w:tplc="3B9E65D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8A4E606E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color w:val="auto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85CE8"/>
    <w:multiLevelType w:val="hybridMultilevel"/>
    <w:tmpl w:val="534C117E"/>
    <w:lvl w:ilvl="0" w:tplc="8C82CD5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2463F"/>
    <w:multiLevelType w:val="hybridMultilevel"/>
    <w:tmpl w:val="3546236C"/>
    <w:lvl w:ilvl="0" w:tplc="1060A4F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40FD3"/>
    <w:multiLevelType w:val="hybridMultilevel"/>
    <w:tmpl w:val="ACBC199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7E43E4"/>
    <w:multiLevelType w:val="hybridMultilevel"/>
    <w:tmpl w:val="6CD22B6A"/>
    <w:lvl w:ilvl="0" w:tplc="D4623C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60A4F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C1320"/>
    <w:multiLevelType w:val="hybridMultilevel"/>
    <w:tmpl w:val="EC4A6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40285"/>
    <w:multiLevelType w:val="hybridMultilevel"/>
    <w:tmpl w:val="6CD22B6A"/>
    <w:lvl w:ilvl="0" w:tplc="D4623C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60A4F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77755"/>
    <w:multiLevelType w:val="hybridMultilevel"/>
    <w:tmpl w:val="DB4C9F2E"/>
    <w:lvl w:ilvl="0" w:tplc="40B0F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5965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6CB7"/>
    <w:multiLevelType w:val="hybridMultilevel"/>
    <w:tmpl w:val="02CA5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D"/>
    <w:rsid w:val="0000380D"/>
    <w:rsid w:val="000643E3"/>
    <w:rsid w:val="0008140C"/>
    <w:rsid w:val="000D2E5F"/>
    <w:rsid w:val="001143FC"/>
    <w:rsid w:val="00132AC4"/>
    <w:rsid w:val="0014117D"/>
    <w:rsid w:val="00155961"/>
    <w:rsid w:val="001745D4"/>
    <w:rsid w:val="001921B1"/>
    <w:rsid w:val="001A2D1C"/>
    <w:rsid w:val="002036D4"/>
    <w:rsid w:val="0021229A"/>
    <w:rsid w:val="002401D4"/>
    <w:rsid w:val="002553AD"/>
    <w:rsid w:val="00286D71"/>
    <w:rsid w:val="002A2069"/>
    <w:rsid w:val="00303EE6"/>
    <w:rsid w:val="00342087"/>
    <w:rsid w:val="003A024D"/>
    <w:rsid w:val="003B099F"/>
    <w:rsid w:val="003F5BBA"/>
    <w:rsid w:val="0049137B"/>
    <w:rsid w:val="004B46E6"/>
    <w:rsid w:val="004E22AD"/>
    <w:rsid w:val="00503655"/>
    <w:rsid w:val="005053C1"/>
    <w:rsid w:val="00534578"/>
    <w:rsid w:val="00537FBD"/>
    <w:rsid w:val="005850BB"/>
    <w:rsid w:val="005873BE"/>
    <w:rsid w:val="005F13D8"/>
    <w:rsid w:val="00603A48"/>
    <w:rsid w:val="00631041"/>
    <w:rsid w:val="00712BA2"/>
    <w:rsid w:val="00727F85"/>
    <w:rsid w:val="00731109"/>
    <w:rsid w:val="007A211A"/>
    <w:rsid w:val="0080597F"/>
    <w:rsid w:val="00817455"/>
    <w:rsid w:val="008553CC"/>
    <w:rsid w:val="00895EE0"/>
    <w:rsid w:val="009268C5"/>
    <w:rsid w:val="0099091D"/>
    <w:rsid w:val="009A5FF9"/>
    <w:rsid w:val="009E261A"/>
    <w:rsid w:val="00A01C06"/>
    <w:rsid w:val="00A34CC7"/>
    <w:rsid w:val="00A45B9A"/>
    <w:rsid w:val="00A84C55"/>
    <w:rsid w:val="00AF0762"/>
    <w:rsid w:val="00AF4332"/>
    <w:rsid w:val="00B04543"/>
    <w:rsid w:val="00B10013"/>
    <w:rsid w:val="00B2499A"/>
    <w:rsid w:val="00B624AC"/>
    <w:rsid w:val="00B64F0A"/>
    <w:rsid w:val="00B67D5E"/>
    <w:rsid w:val="00B755CA"/>
    <w:rsid w:val="00B7686E"/>
    <w:rsid w:val="00BA43E4"/>
    <w:rsid w:val="00BB3B5D"/>
    <w:rsid w:val="00BB5373"/>
    <w:rsid w:val="00C21E92"/>
    <w:rsid w:val="00C57ABA"/>
    <w:rsid w:val="00CA66C8"/>
    <w:rsid w:val="00CC06C1"/>
    <w:rsid w:val="00CD1A28"/>
    <w:rsid w:val="00CF53EC"/>
    <w:rsid w:val="00D300B5"/>
    <w:rsid w:val="00DA3819"/>
    <w:rsid w:val="00DF70D1"/>
    <w:rsid w:val="00E131A8"/>
    <w:rsid w:val="00E17C5E"/>
    <w:rsid w:val="00E20D9A"/>
    <w:rsid w:val="00ED118E"/>
    <w:rsid w:val="00EE7534"/>
    <w:rsid w:val="00F4477D"/>
    <w:rsid w:val="00FB1698"/>
    <w:rsid w:val="00FD35A5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14E549"/>
  <w15:docId w15:val="{BFCF7335-3B1E-4B84-A00C-8BFE7DC2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0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2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5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C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55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CC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C06C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C06C1"/>
    <w:pPr>
      <w:widowControl/>
      <w:autoSpaceDE/>
      <w:autoSpaceDN/>
    </w:pPr>
    <w:rPr>
      <w:rFonts w:eastAsiaTheme="minorHAnsi" w:cstheme="minorBidi"/>
      <w:color w:val="495965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06C1"/>
    <w:rPr>
      <w:rFonts w:ascii="Verdana" w:hAnsi="Verdana"/>
      <w:color w:val="495965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C06C1"/>
    <w:rPr>
      <w:vertAlign w:val="superscript"/>
    </w:rPr>
  </w:style>
  <w:style w:type="paragraph" w:customStyle="1" w:styleId="Default">
    <w:name w:val="Default"/>
    <w:rsid w:val="005053C1"/>
    <w:pPr>
      <w:widowControl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1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29A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29A"/>
    <w:rPr>
      <w:rFonts w:ascii="Verdana" w:eastAsia="Verdana" w:hAnsi="Verdana" w:cs="Verdana"/>
      <w:b/>
      <w:bCs/>
      <w:sz w:val="20"/>
      <w:szCs w:val="20"/>
    </w:rPr>
  </w:style>
  <w:style w:type="paragraph" w:customStyle="1" w:styleId="Style333">
    <w:name w:val="Style333"/>
    <w:basedOn w:val="Normal"/>
    <w:next w:val="Normal"/>
    <w:link w:val="Style333Char"/>
    <w:autoRedefine/>
    <w:qFormat/>
    <w:rsid w:val="00B64F0A"/>
    <w:pPr>
      <w:widowControl/>
      <w:autoSpaceDE/>
      <w:autoSpaceDN/>
      <w:spacing w:after="200" w:line="264" w:lineRule="auto"/>
      <w:jc w:val="both"/>
    </w:pPr>
    <w:rPr>
      <w:rFonts w:eastAsiaTheme="minorHAnsi" w:cs="Arial"/>
      <w:color w:val="495965"/>
      <w:sz w:val="20"/>
      <w:szCs w:val="20"/>
      <w:shd w:val="clear" w:color="auto" w:fill="FFFFFF"/>
      <w:lang w:eastAsia="ja-JP"/>
    </w:rPr>
  </w:style>
  <w:style w:type="character" w:customStyle="1" w:styleId="Style333Char">
    <w:name w:val="Style333 Char"/>
    <w:basedOn w:val="DefaultParagraphFont"/>
    <w:link w:val="Style333"/>
    <w:rsid w:val="00B64F0A"/>
    <w:rPr>
      <w:rFonts w:ascii="Verdana" w:hAnsi="Verdana" w:cs="Arial"/>
      <w:color w:val="495965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B53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AC4"/>
    <w:rPr>
      <w:rFonts w:ascii="Verdana" w:eastAsia="Verdana" w:hAnsi="Verdana" w:cs="Verdan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2AC4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Fair Sales</vt:lpstr>
      <vt:lpstr>Market Code Policy </vt:lpstr>
      <vt:lpstr>Transparency and Disclosure</vt:lpstr>
      <vt:lpstr/>
      <vt:lpstr>    Purpose:</vt:lpstr>
      <vt:lpstr>    </vt:lpstr>
      <vt:lpstr>    Policy Statements:</vt:lpstr>
      <vt:lpstr>    </vt:lpstr>
      <vt:lpstr>    Responsibilities:</vt:lpstr>
      <vt:lpstr>    Monitoring and Reporting:</vt:lpstr>
      <vt:lpstr>    Senior Management is responsible for reporting to the Board on the credit union’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Sales</dc:title>
  <dc:creator>Linda Jijian</dc:creator>
  <cp:lastModifiedBy>Victoria Mainprize</cp:lastModifiedBy>
  <cp:revision>5</cp:revision>
  <dcterms:created xsi:type="dcterms:W3CDTF">2021-07-27T15:24:00Z</dcterms:created>
  <dcterms:modified xsi:type="dcterms:W3CDTF">2021-07-28T19:32:00Z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2021-04-12T00:00:00Z</vt:filetime>
  </property>
</Properties>
</file>